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6A492"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02E59E49" w14:textId="77777777" w:rsidTr="005F7F7E">
        <w:tc>
          <w:tcPr>
            <w:tcW w:w="2438" w:type="dxa"/>
            <w:shd w:val="clear" w:color="auto" w:fill="auto"/>
          </w:tcPr>
          <w:p w14:paraId="55F464FB"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1BD2D943" w14:textId="77777777" w:rsidR="00F445B1" w:rsidRPr="00F95BC9" w:rsidRDefault="00DB7AD7" w:rsidP="004A6D2F">
            <w:pPr>
              <w:rPr>
                <w:rStyle w:val="Firstpagetablebold"/>
              </w:rPr>
            </w:pPr>
            <w:r>
              <w:rPr>
                <w:rStyle w:val="Firstpagetablebold"/>
              </w:rPr>
              <w:t>Cabinet</w:t>
            </w:r>
          </w:p>
        </w:tc>
      </w:tr>
      <w:tr w:rsidR="00CE544A" w:rsidRPr="00975B07" w14:paraId="063B67B6" w14:textId="77777777" w:rsidTr="005F7F7E">
        <w:tc>
          <w:tcPr>
            <w:tcW w:w="2438" w:type="dxa"/>
            <w:shd w:val="clear" w:color="auto" w:fill="auto"/>
          </w:tcPr>
          <w:p w14:paraId="3DF5F9D0"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207D693F" w14:textId="30FD2E12" w:rsidR="00F445B1" w:rsidRPr="001356F1" w:rsidRDefault="00DE1698" w:rsidP="00AE44DE">
            <w:pPr>
              <w:rPr>
                <w:b/>
              </w:rPr>
            </w:pPr>
            <w:r>
              <w:rPr>
                <w:rStyle w:val="Firstpagetablebold"/>
              </w:rPr>
              <w:t>11 November 2020</w:t>
            </w:r>
          </w:p>
        </w:tc>
      </w:tr>
      <w:tr w:rsidR="00CE544A" w:rsidRPr="00975B07" w14:paraId="52083489" w14:textId="77777777" w:rsidTr="005F7F7E">
        <w:tc>
          <w:tcPr>
            <w:tcW w:w="2438" w:type="dxa"/>
            <w:shd w:val="clear" w:color="auto" w:fill="auto"/>
          </w:tcPr>
          <w:p w14:paraId="30067215"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0253559E" w14:textId="36495F9D" w:rsidR="00F445B1" w:rsidRPr="001356F1" w:rsidRDefault="00DE1698" w:rsidP="004A6D2F">
            <w:pPr>
              <w:rPr>
                <w:rStyle w:val="Firstpagetablebold"/>
              </w:rPr>
            </w:pPr>
            <w:r>
              <w:rPr>
                <w:rStyle w:val="Firstpagetablebold"/>
              </w:rPr>
              <w:t>Head of Regulatory Services and Community Safety</w:t>
            </w:r>
          </w:p>
        </w:tc>
      </w:tr>
      <w:tr w:rsidR="00CE544A" w:rsidRPr="00975B07" w14:paraId="67D0392D" w14:textId="77777777" w:rsidTr="005F7F7E">
        <w:tc>
          <w:tcPr>
            <w:tcW w:w="2438" w:type="dxa"/>
            <w:shd w:val="clear" w:color="auto" w:fill="auto"/>
          </w:tcPr>
          <w:p w14:paraId="1FD45712"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301D1C37" w14:textId="77777777" w:rsidR="00F445B1" w:rsidRPr="001356F1" w:rsidRDefault="00DE1698" w:rsidP="004A6D2F">
            <w:pPr>
              <w:rPr>
                <w:rStyle w:val="Firstpagetablebold"/>
              </w:rPr>
            </w:pPr>
            <w:r w:rsidRPr="0005215A">
              <w:rPr>
                <w:b/>
                <w:bCs/>
              </w:rPr>
              <w:t>Alcohol and Dog Control Public Spaces Protection Orders</w:t>
            </w:r>
          </w:p>
        </w:tc>
      </w:tr>
    </w:tbl>
    <w:p w14:paraId="3A2E7353"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7BFC21E8" w14:textId="77777777" w:rsidTr="0080749A">
        <w:tc>
          <w:tcPr>
            <w:tcW w:w="8845" w:type="dxa"/>
            <w:gridSpan w:val="3"/>
            <w:tcBorders>
              <w:bottom w:val="single" w:sz="8" w:space="0" w:color="000000"/>
            </w:tcBorders>
            <w:hideMark/>
          </w:tcPr>
          <w:p w14:paraId="230B1A49"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54DE91B1" w14:textId="77777777" w:rsidTr="0080749A">
        <w:tc>
          <w:tcPr>
            <w:tcW w:w="2438" w:type="dxa"/>
            <w:gridSpan w:val="2"/>
            <w:tcBorders>
              <w:top w:val="single" w:sz="8" w:space="0" w:color="000000"/>
              <w:left w:val="single" w:sz="8" w:space="0" w:color="000000"/>
              <w:bottom w:val="nil"/>
              <w:right w:val="nil"/>
            </w:tcBorders>
            <w:hideMark/>
          </w:tcPr>
          <w:p w14:paraId="12ADB4C0"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2CFBD9C8" w14:textId="77777777" w:rsidR="00D5547E" w:rsidRPr="001356F1" w:rsidRDefault="00DE1698" w:rsidP="002D2B59">
            <w:r>
              <w:t xml:space="preserve">Approve the implementation of </w:t>
            </w:r>
            <w:r w:rsidR="002D2B59">
              <w:t>the draf</w:t>
            </w:r>
            <w:r w:rsidR="00A7624C">
              <w:t xml:space="preserve">t </w:t>
            </w:r>
            <w:r w:rsidR="002D2B59">
              <w:t xml:space="preserve">Dog Control Public Spaces Protection Order and </w:t>
            </w:r>
            <w:r w:rsidR="00AE44DE">
              <w:t xml:space="preserve">the </w:t>
            </w:r>
            <w:r w:rsidR="002D2B59">
              <w:t>Alcohol Disorder Public Spaces Protection Order.</w:t>
            </w:r>
          </w:p>
        </w:tc>
      </w:tr>
      <w:tr w:rsidR="00D5547E" w14:paraId="334F8E3A" w14:textId="77777777" w:rsidTr="0080749A">
        <w:tc>
          <w:tcPr>
            <w:tcW w:w="2438" w:type="dxa"/>
            <w:gridSpan w:val="2"/>
            <w:tcBorders>
              <w:top w:val="nil"/>
              <w:left w:val="single" w:sz="8" w:space="0" w:color="000000"/>
              <w:bottom w:val="nil"/>
              <w:right w:val="nil"/>
            </w:tcBorders>
            <w:hideMark/>
          </w:tcPr>
          <w:p w14:paraId="79880A70"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73057467" w14:textId="77777777" w:rsidR="00D5547E" w:rsidRPr="001356F1" w:rsidRDefault="00DE1698" w:rsidP="005F7F7E">
            <w:r>
              <w:t>Yes</w:t>
            </w:r>
          </w:p>
        </w:tc>
      </w:tr>
      <w:tr w:rsidR="00D5547E" w14:paraId="22EC3100" w14:textId="77777777" w:rsidTr="0080749A">
        <w:tc>
          <w:tcPr>
            <w:tcW w:w="2438" w:type="dxa"/>
            <w:gridSpan w:val="2"/>
            <w:tcBorders>
              <w:top w:val="nil"/>
              <w:left w:val="single" w:sz="8" w:space="0" w:color="000000"/>
              <w:bottom w:val="nil"/>
              <w:right w:val="nil"/>
            </w:tcBorders>
            <w:hideMark/>
          </w:tcPr>
          <w:p w14:paraId="0E1015D3"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1A21EF76" w14:textId="77777777" w:rsidR="00D5547E" w:rsidRPr="001356F1" w:rsidRDefault="00D5547E" w:rsidP="00DE1698">
            <w:r w:rsidRPr="001356F1">
              <w:t xml:space="preserve">Councillor </w:t>
            </w:r>
            <w:r w:rsidR="00DE1698">
              <w:t>Louise Upton</w:t>
            </w:r>
            <w:r w:rsidRPr="001356F1">
              <w:t xml:space="preserve">, </w:t>
            </w:r>
            <w:r w:rsidR="00DE1698">
              <w:rPr>
                <w:lang w:val="en"/>
              </w:rPr>
              <w:t>Cabinet Member for a Safer, Healthy Oxford</w:t>
            </w:r>
          </w:p>
        </w:tc>
      </w:tr>
      <w:tr w:rsidR="0080749A" w14:paraId="66B4DA8E" w14:textId="77777777" w:rsidTr="0080749A">
        <w:tc>
          <w:tcPr>
            <w:tcW w:w="2438" w:type="dxa"/>
            <w:gridSpan w:val="2"/>
            <w:tcBorders>
              <w:top w:val="nil"/>
              <w:left w:val="single" w:sz="8" w:space="0" w:color="000000"/>
              <w:bottom w:val="nil"/>
              <w:right w:val="nil"/>
            </w:tcBorders>
          </w:tcPr>
          <w:p w14:paraId="5A208A24"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2D606950" w14:textId="77777777" w:rsidR="0080749A" w:rsidRPr="001356F1" w:rsidRDefault="00AE07DD" w:rsidP="00EC2E5C">
            <w:r>
              <w:t>Support flourishing communities</w:t>
            </w:r>
            <w:r w:rsidR="00EC2E5C">
              <w:t>.</w:t>
            </w:r>
            <w:r>
              <w:t xml:space="preserve"> </w:t>
            </w:r>
          </w:p>
        </w:tc>
      </w:tr>
      <w:tr w:rsidR="00D5547E" w14:paraId="744034E1" w14:textId="77777777" w:rsidTr="0080749A">
        <w:tc>
          <w:tcPr>
            <w:tcW w:w="2438" w:type="dxa"/>
            <w:gridSpan w:val="2"/>
            <w:tcBorders>
              <w:top w:val="nil"/>
              <w:left w:val="single" w:sz="8" w:space="0" w:color="000000"/>
              <w:bottom w:val="nil"/>
              <w:right w:val="nil"/>
            </w:tcBorders>
            <w:hideMark/>
          </w:tcPr>
          <w:p w14:paraId="43317824"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5BDACEE6" w14:textId="77777777" w:rsidR="00D5547E" w:rsidRPr="001356F1" w:rsidRDefault="00AE07DD" w:rsidP="005F7F7E">
            <w:r>
              <w:t>Council Strategy 2020-24</w:t>
            </w:r>
          </w:p>
        </w:tc>
      </w:tr>
      <w:tr w:rsidR="005F7F7E" w:rsidRPr="00975B07" w14:paraId="602680A4" w14:textId="77777777" w:rsidTr="00A46E98">
        <w:trPr>
          <w:trHeight w:val="413"/>
        </w:trPr>
        <w:tc>
          <w:tcPr>
            <w:tcW w:w="8845" w:type="dxa"/>
            <w:gridSpan w:val="3"/>
            <w:tcBorders>
              <w:bottom w:val="single" w:sz="8" w:space="0" w:color="000000"/>
            </w:tcBorders>
          </w:tcPr>
          <w:p w14:paraId="5E398815" w14:textId="484958E9" w:rsidR="005F7F7E" w:rsidRPr="00975B07" w:rsidRDefault="0006646F" w:rsidP="00DB7AD7">
            <w:proofErr w:type="spellStart"/>
            <w:r>
              <w:rPr>
                <w:rStyle w:val="Firstpagetablebold"/>
              </w:rPr>
              <w:t>Recommendations</w:t>
            </w:r>
            <w:r w:rsidR="005F7F7E">
              <w:rPr>
                <w:rStyle w:val="Firstpagetablebold"/>
              </w:rPr>
              <w:t>:</w:t>
            </w:r>
            <w:r w:rsidR="005F7F7E" w:rsidRPr="0006646F">
              <w:rPr>
                <w:rStyle w:val="Firstpagetablebold"/>
                <w:b w:val="0"/>
              </w:rPr>
              <w:t>That</w:t>
            </w:r>
            <w:proofErr w:type="spellEnd"/>
            <w:r w:rsidR="005F7F7E" w:rsidRPr="0006646F">
              <w:rPr>
                <w:rStyle w:val="Firstpagetablebold"/>
                <w:b w:val="0"/>
              </w:rPr>
              <w:t xml:space="preserve"> </w:t>
            </w:r>
            <w:r w:rsidR="00DB7AD7" w:rsidRPr="0006646F">
              <w:rPr>
                <w:rStyle w:val="Firstpagetablebold"/>
                <w:b w:val="0"/>
              </w:rPr>
              <w:t>Cabinet</w:t>
            </w:r>
            <w:r w:rsidR="005F7F7E" w:rsidRPr="0006646F">
              <w:rPr>
                <w:rStyle w:val="Firstpagetablebold"/>
                <w:b w:val="0"/>
              </w:rPr>
              <w:t xml:space="preserve"> resolves to:</w:t>
            </w:r>
          </w:p>
        </w:tc>
      </w:tr>
      <w:tr w:rsidR="0030208D" w:rsidRPr="00975B07" w14:paraId="73D44512" w14:textId="77777777" w:rsidTr="001D1D47">
        <w:trPr>
          <w:trHeight w:val="283"/>
        </w:trPr>
        <w:tc>
          <w:tcPr>
            <w:tcW w:w="426" w:type="dxa"/>
            <w:tcBorders>
              <w:top w:val="single" w:sz="8" w:space="0" w:color="000000"/>
              <w:left w:val="single" w:sz="8" w:space="0" w:color="000000"/>
              <w:bottom w:val="nil"/>
              <w:right w:val="nil"/>
            </w:tcBorders>
          </w:tcPr>
          <w:p w14:paraId="40220CD0" w14:textId="77777777" w:rsidR="0030208D" w:rsidRPr="00975B07" w:rsidRDefault="00046D2B" w:rsidP="004A6D2F">
            <w:bookmarkStart w:id="0" w:name="_GoBack" w:colFirst="1" w:colLast="1"/>
            <w:r w:rsidRPr="00975B07">
              <w:t>1.</w:t>
            </w:r>
          </w:p>
        </w:tc>
        <w:tc>
          <w:tcPr>
            <w:tcW w:w="8419" w:type="dxa"/>
            <w:gridSpan w:val="2"/>
            <w:tcBorders>
              <w:top w:val="single" w:sz="8" w:space="0" w:color="000000"/>
              <w:left w:val="nil"/>
              <w:bottom w:val="nil"/>
              <w:right w:val="single" w:sz="8" w:space="0" w:color="000000"/>
            </w:tcBorders>
            <w:shd w:val="clear" w:color="auto" w:fill="auto"/>
          </w:tcPr>
          <w:p w14:paraId="75525D5A" w14:textId="47039B0E" w:rsidR="0030208D" w:rsidRPr="001356F1" w:rsidRDefault="00DE1698" w:rsidP="002069B3">
            <w:r w:rsidRPr="0006646F">
              <w:rPr>
                <w:rStyle w:val="Firstpagetablebold"/>
              </w:rPr>
              <w:t>Approve</w:t>
            </w:r>
            <w:r>
              <w:rPr>
                <w:rStyle w:val="Firstpagetablebold"/>
                <w:b w:val="0"/>
              </w:rPr>
              <w:t xml:space="preserve"> the implementation of a Dog Control Public Spaces Protection Order as set out in Appendix 1</w:t>
            </w:r>
            <w:r w:rsidR="002069B3" w:rsidRPr="001356F1">
              <w:t>;</w:t>
            </w:r>
            <w:r w:rsidR="0030208D" w:rsidRPr="001356F1">
              <w:t xml:space="preserve"> </w:t>
            </w:r>
            <w:r w:rsidR="0006646F">
              <w:t>and</w:t>
            </w:r>
          </w:p>
        </w:tc>
      </w:tr>
      <w:tr w:rsidR="0030208D" w:rsidRPr="00975B07" w14:paraId="303BB6BC" w14:textId="77777777" w:rsidTr="001D1D47">
        <w:trPr>
          <w:trHeight w:val="283"/>
        </w:trPr>
        <w:tc>
          <w:tcPr>
            <w:tcW w:w="426" w:type="dxa"/>
            <w:tcBorders>
              <w:top w:val="nil"/>
              <w:left w:val="single" w:sz="8" w:space="0" w:color="000000"/>
              <w:bottom w:val="single" w:sz="4" w:space="0" w:color="auto"/>
              <w:right w:val="nil"/>
            </w:tcBorders>
          </w:tcPr>
          <w:p w14:paraId="316ABBA6" w14:textId="77777777" w:rsidR="0030208D" w:rsidRPr="00975B07" w:rsidRDefault="00046D2B" w:rsidP="004A6D2F">
            <w:r w:rsidRPr="00975B07">
              <w:t>2.</w:t>
            </w:r>
          </w:p>
        </w:tc>
        <w:tc>
          <w:tcPr>
            <w:tcW w:w="8419" w:type="dxa"/>
            <w:gridSpan w:val="2"/>
            <w:tcBorders>
              <w:top w:val="nil"/>
              <w:left w:val="nil"/>
              <w:bottom w:val="single" w:sz="4" w:space="0" w:color="auto"/>
              <w:right w:val="single" w:sz="8" w:space="0" w:color="000000"/>
            </w:tcBorders>
            <w:shd w:val="clear" w:color="auto" w:fill="auto"/>
          </w:tcPr>
          <w:p w14:paraId="66ADAFBC" w14:textId="77777777" w:rsidR="0030208D" w:rsidRPr="001356F1" w:rsidRDefault="00DE1698" w:rsidP="00DE1698">
            <w:r w:rsidRPr="0006646F">
              <w:rPr>
                <w:rStyle w:val="Firstpagetablebold"/>
              </w:rPr>
              <w:t>Approve</w:t>
            </w:r>
            <w:r>
              <w:rPr>
                <w:rStyle w:val="Firstpagetablebold"/>
                <w:b w:val="0"/>
              </w:rPr>
              <w:t xml:space="preserve"> the implementation of an Alcohol Control Public Spaces Protection Order as set out in Appendix </w:t>
            </w:r>
            <w:r w:rsidR="001D1D47">
              <w:rPr>
                <w:rStyle w:val="Firstpagetablebold"/>
                <w:b w:val="0"/>
              </w:rPr>
              <w:t>2</w:t>
            </w:r>
            <w:r w:rsidR="002D2B59">
              <w:t>.</w:t>
            </w:r>
          </w:p>
        </w:tc>
      </w:tr>
      <w:bookmarkEnd w:id="0"/>
    </w:tbl>
    <w:p w14:paraId="7DDE124D"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49935160"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4B71032A" w14:textId="77777777" w:rsidR="00966D42" w:rsidRPr="00975B07" w:rsidRDefault="00966D42" w:rsidP="00263EA3">
            <w:pPr>
              <w:jc w:val="center"/>
            </w:pPr>
            <w:r w:rsidRPr="00745BF0">
              <w:rPr>
                <w:rStyle w:val="Firstpagetablebold"/>
              </w:rPr>
              <w:t>Appendices</w:t>
            </w:r>
          </w:p>
        </w:tc>
      </w:tr>
      <w:tr w:rsidR="00ED5860" w:rsidRPr="00975B07" w14:paraId="2A44E9AD" w14:textId="77777777" w:rsidTr="00A46E98">
        <w:tc>
          <w:tcPr>
            <w:tcW w:w="2438" w:type="dxa"/>
            <w:tcBorders>
              <w:top w:val="single" w:sz="8" w:space="0" w:color="000000"/>
              <w:left w:val="single" w:sz="8" w:space="0" w:color="000000"/>
              <w:bottom w:val="nil"/>
              <w:right w:val="nil"/>
            </w:tcBorders>
            <w:shd w:val="clear" w:color="auto" w:fill="auto"/>
          </w:tcPr>
          <w:p w14:paraId="33A5B807" w14:textId="77777777"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14:paraId="7791AA73" w14:textId="77777777" w:rsidR="00ED5860" w:rsidRPr="001356F1" w:rsidRDefault="003A6736" w:rsidP="004A6D2F">
            <w:r>
              <w:rPr>
                <w:rStyle w:val="Firstpagetablebold"/>
                <w:b w:val="0"/>
              </w:rPr>
              <w:t xml:space="preserve">Proposed </w:t>
            </w:r>
            <w:r w:rsidR="001D1D47">
              <w:rPr>
                <w:rStyle w:val="Firstpagetablebold"/>
                <w:b w:val="0"/>
              </w:rPr>
              <w:t>Dog Control Public Spaces Protection Order</w:t>
            </w:r>
          </w:p>
        </w:tc>
      </w:tr>
      <w:tr w:rsidR="00ED5860" w:rsidRPr="00975B07" w14:paraId="2C0A628E" w14:textId="77777777" w:rsidTr="00A46E98">
        <w:tc>
          <w:tcPr>
            <w:tcW w:w="2438" w:type="dxa"/>
            <w:tcBorders>
              <w:top w:val="nil"/>
              <w:left w:val="single" w:sz="8" w:space="0" w:color="000000"/>
              <w:bottom w:val="nil"/>
              <w:right w:val="nil"/>
            </w:tcBorders>
            <w:shd w:val="clear" w:color="auto" w:fill="auto"/>
          </w:tcPr>
          <w:p w14:paraId="30C55AE7" w14:textId="77777777" w:rsidR="00ED5860" w:rsidRPr="00975B07" w:rsidRDefault="0030208D" w:rsidP="004A6D2F">
            <w:r w:rsidRPr="00975B07">
              <w:t>Appendix 2</w:t>
            </w:r>
          </w:p>
        </w:tc>
        <w:tc>
          <w:tcPr>
            <w:tcW w:w="6406" w:type="dxa"/>
            <w:tcBorders>
              <w:top w:val="nil"/>
              <w:left w:val="nil"/>
              <w:bottom w:val="nil"/>
              <w:right w:val="single" w:sz="8" w:space="0" w:color="000000"/>
            </w:tcBorders>
          </w:tcPr>
          <w:p w14:paraId="1E3D2D95" w14:textId="77777777" w:rsidR="00ED5860" w:rsidRPr="001356F1" w:rsidRDefault="003A6736" w:rsidP="00D073FF">
            <w:r>
              <w:rPr>
                <w:rStyle w:val="Firstpagetablebold"/>
                <w:b w:val="0"/>
              </w:rPr>
              <w:t xml:space="preserve">Proposed </w:t>
            </w:r>
            <w:r w:rsidR="001D1D47">
              <w:rPr>
                <w:rStyle w:val="Firstpagetablebold"/>
                <w:b w:val="0"/>
              </w:rPr>
              <w:t xml:space="preserve">Alcohol </w:t>
            </w:r>
            <w:r w:rsidR="00D073FF">
              <w:rPr>
                <w:rStyle w:val="Firstpagetablebold"/>
                <w:b w:val="0"/>
              </w:rPr>
              <w:t>Disorder</w:t>
            </w:r>
            <w:r w:rsidR="001D1D47">
              <w:rPr>
                <w:rStyle w:val="Firstpagetablebold"/>
                <w:b w:val="0"/>
              </w:rPr>
              <w:t xml:space="preserve"> Public Spaces Protection Order</w:t>
            </w:r>
          </w:p>
        </w:tc>
      </w:tr>
      <w:tr w:rsidR="003A6736" w:rsidRPr="00975B07" w14:paraId="075B5BE7" w14:textId="77777777" w:rsidTr="00A46E98">
        <w:tc>
          <w:tcPr>
            <w:tcW w:w="2438" w:type="dxa"/>
            <w:tcBorders>
              <w:top w:val="nil"/>
              <w:left w:val="single" w:sz="8" w:space="0" w:color="000000"/>
              <w:bottom w:val="nil"/>
              <w:right w:val="nil"/>
            </w:tcBorders>
            <w:shd w:val="clear" w:color="auto" w:fill="auto"/>
          </w:tcPr>
          <w:p w14:paraId="2573A89F" w14:textId="77777777" w:rsidR="003A6736" w:rsidRPr="00975B07" w:rsidRDefault="003A6736" w:rsidP="003A6736">
            <w:r w:rsidRPr="00975B07">
              <w:t>Appendix 3</w:t>
            </w:r>
          </w:p>
        </w:tc>
        <w:tc>
          <w:tcPr>
            <w:tcW w:w="6406" w:type="dxa"/>
            <w:tcBorders>
              <w:top w:val="nil"/>
              <w:left w:val="nil"/>
              <w:bottom w:val="nil"/>
              <w:right w:val="single" w:sz="8" w:space="0" w:color="000000"/>
            </w:tcBorders>
          </w:tcPr>
          <w:p w14:paraId="611896BB" w14:textId="77777777" w:rsidR="003A6736" w:rsidRDefault="003A6736" w:rsidP="003A6736">
            <w:r>
              <w:t>Legal considerations when making an Order</w:t>
            </w:r>
          </w:p>
        </w:tc>
      </w:tr>
      <w:tr w:rsidR="003A6736" w:rsidRPr="00975B07" w14:paraId="1BF6EB67" w14:textId="77777777" w:rsidTr="00A46E98">
        <w:tc>
          <w:tcPr>
            <w:tcW w:w="2438" w:type="dxa"/>
            <w:tcBorders>
              <w:top w:val="nil"/>
              <w:left w:val="single" w:sz="8" w:space="0" w:color="000000"/>
              <w:bottom w:val="nil"/>
              <w:right w:val="nil"/>
            </w:tcBorders>
            <w:shd w:val="clear" w:color="auto" w:fill="auto"/>
          </w:tcPr>
          <w:p w14:paraId="56E169D5" w14:textId="77777777" w:rsidR="003A6736" w:rsidRPr="00975B07" w:rsidRDefault="003A6736" w:rsidP="003A6736">
            <w:r w:rsidRPr="00975B07">
              <w:t>Appendix 4</w:t>
            </w:r>
          </w:p>
        </w:tc>
        <w:tc>
          <w:tcPr>
            <w:tcW w:w="6406" w:type="dxa"/>
            <w:tcBorders>
              <w:top w:val="nil"/>
              <w:left w:val="nil"/>
              <w:bottom w:val="nil"/>
              <w:right w:val="single" w:sz="8" w:space="0" w:color="000000"/>
            </w:tcBorders>
          </w:tcPr>
          <w:p w14:paraId="20A60412" w14:textId="77777777" w:rsidR="003A6736" w:rsidRPr="001356F1" w:rsidRDefault="003A6736" w:rsidP="003A6736">
            <w:r>
              <w:t>Questionnaire consultation results summary</w:t>
            </w:r>
          </w:p>
        </w:tc>
      </w:tr>
      <w:tr w:rsidR="003A6736" w:rsidRPr="00975B07" w14:paraId="1AC74CB9" w14:textId="77777777" w:rsidTr="001D1D47">
        <w:tc>
          <w:tcPr>
            <w:tcW w:w="2438" w:type="dxa"/>
            <w:tcBorders>
              <w:top w:val="nil"/>
              <w:left w:val="single" w:sz="8" w:space="0" w:color="000000"/>
              <w:bottom w:val="nil"/>
              <w:right w:val="nil"/>
            </w:tcBorders>
            <w:shd w:val="clear" w:color="auto" w:fill="auto"/>
          </w:tcPr>
          <w:p w14:paraId="6AB17F1E" w14:textId="77777777" w:rsidR="003A6736" w:rsidRPr="00975B07" w:rsidRDefault="003A6736" w:rsidP="003A6736">
            <w:r>
              <w:t>Appendix 5</w:t>
            </w:r>
          </w:p>
        </w:tc>
        <w:tc>
          <w:tcPr>
            <w:tcW w:w="6406" w:type="dxa"/>
            <w:tcBorders>
              <w:top w:val="nil"/>
              <w:left w:val="nil"/>
              <w:bottom w:val="nil"/>
              <w:right w:val="single" w:sz="8" w:space="0" w:color="000000"/>
            </w:tcBorders>
          </w:tcPr>
          <w:p w14:paraId="3666A4A6" w14:textId="77777777" w:rsidR="003A6736" w:rsidRPr="001356F1" w:rsidRDefault="003A6736" w:rsidP="003A6736">
            <w:r>
              <w:t>Data assessment summary</w:t>
            </w:r>
          </w:p>
        </w:tc>
      </w:tr>
      <w:tr w:rsidR="003A6736" w:rsidRPr="00975B07" w14:paraId="76F3B69E" w14:textId="77777777" w:rsidTr="00313FBA">
        <w:tc>
          <w:tcPr>
            <w:tcW w:w="2438" w:type="dxa"/>
            <w:tcBorders>
              <w:top w:val="nil"/>
              <w:left w:val="single" w:sz="8" w:space="0" w:color="000000"/>
              <w:bottom w:val="nil"/>
              <w:right w:val="nil"/>
            </w:tcBorders>
            <w:shd w:val="clear" w:color="auto" w:fill="auto"/>
          </w:tcPr>
          <w:p w14:paraId="6AD71591" w14:textId="77777777" w:rsidR="003A6736" w:rsidRDefault="003A6736" w:rsidP="003A6736">
            <w:r>
              <w:t>Appendix 6</w:t>
            </w:r>
          </w:p>
        </w:tc>
        <w:tc>
          <w:tcPr>
            <w:tcW w:w="6406" w:type="dxa"/>
            <w:tcBorders>
              <w:top w:val="nil"/>
              <w:left w:val="nil"/>
              <w:bottom w:val="nil"/>
              <w:right w:val="single" w:sz="8" w:space="0" w:color="000000"/>
            </w:tcBorders>
          </w:tcPr>
          <w:p w14:paraId="58635D00" w14:textId="77777777" w:rsidR="003A6736" w:rsidRDefault="006F3DC5" w:rsidP="003A6736">
            <w:r>
              <w:t>Risk register</w:t>
            </w:r>
          </w:p>
        </w:tc>
      </w:tr>
      <w:tr w:rsidR="003A6736" w:rsidRPr="00975B07" w14:paraId="3214D726" w14:textId="77777777" w:rsidTr="00313FBA">
        <w:tc>
          <w:tcPr>
            <w:tcW w:w="2438" w:type="dxa"/>
            <w:tcBorders>
              <w:top w:val="nil"/>
              <w:left w:val="single" w:sz="8" w:space="0" w:color="000000"/>
              <w:bottom w:val="nil"/>
              <w:right w:val="nil"/>
            </w:tcBorders>
            <w:shd w:val="clear" w:color="auto" w:fill="auto"/>
          </w:tcPr>
          <w:p w14:paraId="7EB1C1A2" w14:textId="77777777" w:rsidR="003A6736" w:rsidRDefault="003A6736" w:rsidP="003A6736">
            <w:r>
              <w:t>Appendix 7</w:t>
            </w:r>
          </w:p>
        </w:tc>
        <w:tc>
          <w:tcPr>
            <w:tcW w:w="6406" w:type="dxa"/>
            <w:tcBorders>
              <w:top w:val="nil"/>
              <w:left w:val="nil"/>
              <w:bottom w:val="nil"/>
              <w:right w:val="single" w:sz="8" w:space="0" w:color="000000"/>
            </w:tcBorders>
          </w:tcPr>
          <w:p w14:paraId="045E55F9" w14:textId="77777777" w:rsidR="003A6736" w:rsidRDefault="003A6736" w:rsidP="003A6736">
            <w:r>
              <w:t>Current Dog Control PSPO</w:t>
            </w:r>
          </w:p>
        </w:tc>
      </w:tr>
      <w:tr w:rsidR="003A6736" w:rsidRPr="00975B07" w14:paraId="2993C6F6" w14:textId="77777777" w:rsidTr="00313FBA">
        <w:tc>
          <w:tcPr>
            <w:tcW w:w="2438" w:type="dxa"/>
            <w:tcBorders>
              <w:top w:val="nil"/>
              <w:left w:val="single" w:sz="8" w:space="0" w:color="000000"/>
              <w:bottom w:val="nil"/>
              <w:right w:val="nil"/>
            </w:tcBorders>
            <w:shd w:val="clear" w:color="auto" w:fill="auto"/>
          </w:tcPr>
          <w:p w14:paraId="648E8E4A" w14:textId="77777777" w:rsidR="003A6736" w:rsidRDefault="003A6736" w:rsidP="003A6736">
            <w:r>
              <w:t>Appendix 8</w:t>
            </w:r>
          </w:p>
        </w:tc>
        <w:tc>
          <w:tcPr>
            <w:tcW w:w="6406" w:type="dxa"/>
            <w:tcBorders>
              <w:top w:val="nil"/>
              <w:left w:val="nil"/>
              <w:bottom w:val="nil"/>
              <w:right w:val="single" w:sz="8" w:space="0" w:color="000000"/>
            </w:tcBorders>
          </w:tcPr>
          <w:p w14:paraId="4BF5A3A5" w14:textId="77777777" w:rsidR="003A6736" w:rsidRDefault="003A6736" w:rsidP="003A6736">
            <w:r>
              <w:t>Current Alcohol Disorder PSPO</w:t>
            </w:r>
          </w:p>
        </w:tc>
      </w:tr>
      <w:tr w:rsidR="003A6736" w:rsidRPr="00975B07" w14:paraId="7720772A" w14:textId="77777777" w:rsidTr="00DE632E">
        <w:tc>
          <w:tcPr>
            <w:tcW w:w="2438" w:type="dxa"/>
            <w:tcBorders>
              <w:top w:val="nil"/>
              <w:left w:val="single" w:sz="8" w:space="0" w:color="000000"/>
              <w:bottom w:val="nil"/>
              <w:right w:val="nil"/>
            </w:tcBorders>
            <w:shd w:val="clear" w:color="auto" w:fill="auto"/>
          </w:tcPr>
          <w:p w14:paraId="254492ED" w14:textId="77777777" w:rsidR="003A6736" w:rsidRDefault="003A6736" w:rsidP="003A6736">
            <w:r>
              <w:t>Appendix 9</w:t>
            </w:r>
          </w:p>
        </w:tc>
        <w:tc>
          <w:tcPr>
            <w:tcW w:w="6406" w:type="dxa"/>
            <w:tcBorders>
              <w:top w:val="nil"/>
              <w:left w:val="nil"/>
              <w:bottom w:val="nil"/>
              <w:right w:val="single" w:sz="8" w:space="0" w:color="000000"/>
            </w:tcBorders>
          </w:tcPr>
          <w:p w14:paraId="52C5537B" w14:textId="77777777" w:rsidR="003A6736" w:rsidRDefault="003A6736" w:rsidP="003A6736">
            <w:r>
              <w:t>ASB Tools and powers summary</w:t>
            </w:r>
          </w:p>
        </w:tc>
      </w:tr>
      <w:tr w:rsidR="003A6736" w:rsidRPr="00975B07" w14:paraId="04CA0DE7" w14:textId="77777777" w:rsidTr="006F3DC5">
        <w:tc>
          <w:tcPr>
            <w:tcW w:w="2438" w:type="dxa"/>
            <w:tcBorders>
              <w:top w:val="nil"/>
              <w:left w:val="single" w:sz="8" w:space="0" w:color="000000"/>
              <w:bottom w:val="nil"/>
              <w:right w:val="nil"/>
            </w:tcBorders>
            <w:shd w:val="clear" w:color="auto" w:fill="auto"/>
          </w:tcPr>
          <w:p w14:paraId="33886C29" w14:textId="77777777" w:rsidR="003A6736" w:rsidRDefault="003A6736" w:rsidP="003A6736">
            <w:r>
              <w:lastRenderedPageBreak/>
              <w:t>Appendix 10</w:t>
            </w:r>
          </w:p>
        </w:tc>
        <w:tc>
          <w:tcPr>
            <w:tcW w:w="6406" w:type="dxa"/>
            <w:tcBorders>
              <w:top w:val="nil"/>
              <w:left w:val="nil"/>
              <w:bottom w:val="nil"/>
              <w:right w:val="single" w:sz="8" w:space="0" w:color="000000"/>
            </w:tcBorders>
          </w:tcPr>
          <w:p w14:paraId="13AA3BEF" w14:textId="77777777" w:rsidR="003A6736" w:rsidRDefault="006F3DC5" w:rsidP="003A6736">
            <w:r>
              <w:t>Dog Control PSPO Equalities Impact Assessment</w:t>
            </w:r>
          </w:p>
        </w:tc>
      </w:tr>
      <w:tr w:rsidR="006F3DC5" w:rsidRPr="00975B07" w14:paraId="6B7D5C15" w14:textId="77777777" w:rsidTr="00A46E98">
        <w:tc>
          <w:tcPr>
            <w:tcW w:w="2438" w:type="dxa"/>
            <w:tcBorders>
              <w:top w:val="nil"/>
              <w:left w:val="single" w:sz="8" w:space="0" w:color="000000"/>
              <w:bottom w:val="single" w:sz="8" w:space="0" w:color="000000"/>
              <w:right w:val="nil"/>
            </w:tcBorders>
            <w:shd w:val="clear" w:color="auto" w:fill="auto"/>
          </w:tcPr>
          <w:p w14:paraId="568414BC" w14:textId="77777777" w:rsidR="006F3DC5" w:rsidRDefault="006F3DC5" w:rsidP="003A6736">
            <w:r>
              <w:t>Appendix 11</w:t>
            </w:r>
          </w:p>
        </w:tc>
        <w:tc>
          <w:tcPr>
            <w:tcW w:w="6406" w:type="dxa"/>
            <w:tcBorders>
              <w:top w:val="nil"/>
              <w:left w:val="nil"/>
              <w:bottom w:val="single" w:sz="8" w:space="0" w:color="000000"/>
              <w:right w:val="single" w:sz="8" w:space="0" w:color="000000"/>
            </w:tcBorders>
          </w:tcPr>
          <w:p w14:paraId="241C4485" w14:textId="77777777" w:rsidR="006F3DC5" w:rsidRDefault="006F3DC5" w:rsidP="006F3DC5">
            <w:r>
              <w:t>Alcohol Disorder PSPO Equalities Impact Assessment</w:t>
            </w:r>
          </w:p>
        </w:tc>
      </w:tr>
    </w:tbl>
    <w:p w14:paraId="4342938E"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6C238739" w14:textId="77777777" w:rsidR="001D1D47" w:rsidRDefault="001D1D47" w:rsidP="001B03FB">
      <w:pPr>
        <w:pStyle w:val="ListParagraph"/>
        <w:numPr>
          <w:ilvl w:val="0"/>
          <w:numId w:val="6"/>
        </w:numPr>
        <w:pBdr>
          <w:top w:val="nil"/>
          <w:left w:val="nil"/>
          <w:bottom w:val="nil"/>
          <w:right w:val="nil"/>
          <w:between w:val="nil"/>
          <w:bar w:val="nil"/>
        </w:pBdr>
      </w:pPr>
      <w:r>
        <w:t>Public Spaces Protection Order</w:t>
      </w:r>
      <w:r w:rsidR="003D792F">
        <w:t>s</w:t>
      </w:r>
      <w:r w:rsidR="00AB440B">
        <w:t xml:space="preserve"> (PSPOs)</w:t>
      </w:r>
      <w:r w:rsidR="00AD085C">
        <w:t>,</w:t>
      </w:r>
      <w:r>
        <w:t xml:space="preserve"> as defined by </w:t>
      </w:r>
      <w:r w:rsidR="00C17BA3">
        <w:t>the Anti-Social Behaviour, Crime and Policing Act 2014 (the Act)</w:t>
      </w:r>
      <w:r>
        <w:t>, set out standards of acceptable behaviour in an area</w:t>
      </w:r>
      <w:r w:rsidR="00AD085C">
        <w:t xml:space="preserve"> to deter</w:t>
      </w:r>
      <w:r>
        <w:t xml:space="preserve"> those behaviours</w:t>
      </w:r>
      <w:r w:rsidR="003D792F">
        <w:t xml:space="preserve"> that have been</w:t>
      </w:r>
      <w:r>
        <w:t xml:space="preserve">, or </w:t>
      </w:r>
      <w:r w:rsidR="003D792F">
        <w:t xml:space="preserve">are </w:t>
      </w:r>
      <w:r>
        <w:t>likely to be, detrimental, persistent and unreasonable to those in the area.  Therefore, a PSPO</w:t>
      </w:r>
      <w:r w:rsidR="00AE44DE">
        <w:t>’</w:t>
      </w:r>
      <w:r>
        <w:t>s primary purpose, similar to a byelaw, is to prevent anti-social behaviour from occurring</w:t>
      </w:r>
      <w:r w:rsidR="003D792F">
        <w:t xml:space="preserve"> and reduce the detrimental effe</w:t>
      </w:r>
      <w:r w:rsidR="00AB440B">
        <w:t>ct on those living in the area.</w:t>
      </w:r>
    </w:p>
    <w:p w14:paraId="2A079157" w14:textId="7BDD2F91" w:rsidR="00445FC5" w:rsidRDefault="00445FC5" w:rsidP="001B03FB">
      <w:pPr>
        <w:pStyle w:val="ListParagraph"/>
        <w:numPr>
          <w:ilvl w:val="0"/>
          <w:numId w:val="6"/>
        </w:numPr>
        <w:pBdr>
          <w:top w:val="nil"/>
          <w:left w:val="nil"/>
          <w:bottom w:val="nil"/>
          <w:right w:val="nil"/>
          <w:between w:val="nil"/>
          <w:bar w:val="nil"/>
        </w:pBdr>
      </w:pPr>
      <w:r>
        <w:t xml:space="preserve">Oxford City Council has two </w:t>
      </w:r>
      <w:r w:rsidR="001D1D47">
        <w:t>PSPOs</w:t>
      </w:r>
      <w:r w:rsidR="00C17BA3">
        <w:t xml:space="preserve"> that regulate</w:t>
      </w:r>
      <w:r w:rsidR="001D1D47">
        <w:t xml:space="preserve"> dog control </w:t>
      </w:r>
      <w:r w:rsidR="008C7724">
        <w:t xml:space="preserve">(Appendix 7) </w:t>
      </w:r>
      <w:r w:rsidR="001D1D47">
        <w:t>and alcohol consumption</w:t>
      </w:r>
      <w:r w:rsidR="008C7724">
        <w:t xml:space="preserve"> (Appendix 8), respectively</w:t>
      </w:r>
      <w:r w:rsidR="00C17BA3">
        <w:t>.  They</w:t>
      </w:r>
      <w:r>
        <w:t xml:space="preserve"> </w:t>
      </w:r>
      <w:r w:rsidR="001D1D47">
        <w:t>expire on the 27</w:t>
      </w:r>
      <w:r w:rsidR="005A7B51">
        <w:t xml:space="preserve"> November 2020.</w:t>
      </w:r>
      <w:r w:rsidRPr="00445FC5">
        <w:t xml:space="preserve"> </w:t>
      </w:r>
    </w:p>
    <w:p w14:paraId="7F5F855A" w14:textId="77777777" w:rsidR="00C17BA3" w:rsidRDefault="00C17BA3" w:rsidP="001B03FB">
      <w:pPr>
        <w:pStyle w:val="ListParagraph"/>
        <w:numPr>
          <w:ilvl w:val="0"/>
          <w:numId w:val="6"/>
        </w:numPr>
        <w:pBdr>
          <w:top w:val="nil"/>
          <w:left w:val="nil"/>
          <w:bottom w:val="nil"/>
          <w:right w:val="nil"/>
          <w:between w:val="nil"/>
          <w:bar w:val="nil"/>
        </w:pBdr>
      </w:pPr>
      <w:r>
        <w:t>The Act repeal</w:t>
      </w:r>
      <w:r w:rsidR="008C7724">
        <w:t>ed</w:t>
      </w:r>
      <w:r>
        <w:t xml:space="preserve"> Dog Control Orders, and Designated Public Places Orders; the previous legislative provisions that regulated these two issues.  The Council </w:t>
      </w:r>
      <w:r w:rsidR="007A251B">
        <w:t>introduced</w:t>
      </w:r>
      <w:r>
        <w:t xml:space="preserve"> these </w:t>
      </w:r>
      <w:r w:rsidR="007A251B">
        <w:t xml:space="preserve">original </w:t>
      </w:r>
      <w:r>
        <w:t>Orders</w:t>
      </w:r>
      <w:r w:rsidR="007A251B">
        <w:t xml:space="preserve"> to all public land within the Oxford City Council</w:t>
      </w:r>
      <w:r w:rsidR="007A251B" w:rsidRPr="00445FC5">
        <w:t xml:space="preserve"> </w:t>
      </w:r>
      <w:r w:rsidR="007A251B">
        <w:t>local authority boundary.  The Act allowed</w:t>
      </w:r>
      <w:r>
        <w:t xml:space="preserve"> subsequent PSPOs</w:t>
      </w:r>
      <w:r w:rsidR="007A251B">
        <w:t xml:space="preserve"> to</w:t>
      </w:r>
      <w:r>
        <w:t xml:space="preserve"> adopt the same restrictions for a maximum period of three years.</w:t>
      </w:r>
    </w:p>
    <w:p w14:paraId="0E8BCA3B" w14:textId="6F76D55E" w:rsidR="001D1D47" w:rsidRDefault="007A251B" w:rsidP="001B03FB">
      <w:pPr>
        <w:pStyle w:val="ListParagraph"/>
        <w:numPr>
          <w:ilvl w:val="0"/>
          <w:numId w:val="6"/>
        </w:numPr>
        <w:pBdr>
          <w:top w:val="nil"/>
          <w:left w:val="nil"/>
          <w:bottom w:val="nil"/>
          <w:right w:val="nil"/>
          <w:between w:val="nil"/>
          <w:bar w:val="nil"/>
        </w:pBdr>
      </w:pPr>
      <w:r>
        <w:t>The three years ha</w:t>
      </w:r>
      <w:r w:rsidR="00AE44DE">
        <w:t>ve</w:t>
      </w:r>
      <w:r>
        <w:t xml:space="preserve"> expired, therefore Cabinet</w:t>
      </w:r>
      <w:r w:rsidR="00C17BA3">
        <w:t xml:space="preserve"> must decide whether to extend the existing Orders based on evidence of need, introduce new Orders or let the Orders expire.</w:t>
      </w:r>
    </w:p>
    <w:p w14:paraId="23D9E8B7" w14:textId="77777777" w:rsidR="009B410C" w:rsidRPr="00445FC5" w:rsidRDefault="007A251B" w:rsidP="009B410C">
      <w:pPr>
        <w:pBdr>
          <w:top w:val="nil"/>
          <w:left w:val="nil"/>
          <w:bottom w:val="nil"/>
          <w:right w:val="nil"/>
          <w:between w:val="nil"/>
          <w:bar w:val="nil"/>
        </w:pBdr>
        <w:rPr>
          <w:b/>
        </w:rPr>
      </w:pPr>
      <w:r>
        <w:rPr>
          <w:b/>
        </w:rPr>
        <w:t>Overview of</w:t>
      </w:r>
      <w:r w:rsidR="00445FC5">
        <w:rPr>
          <w:b/>
        </w:rPr>
        <w:t xml:space="preserve"> </w:t>
      </w:r>
      <w:r w:rsidR="009B410C" w:rsidRPr="00445FC5">
        <w:rPr>
          <w:b/>
        </w:rPr>
        <w:t>PSPO</w:t>
      </w:r>
      <w:r w:rsidR="00445FC5">
        <w:rPr>
          <w:b/>
        </w:rPr>
        <w:t>s</w:t>
      </w:r>
    </w:p>
    <w:p w14:paraId="79C17F8E" w14:textId="77777777" w:rsidR="00445FC5" w:rsidRPr="00445FC5" w:rsidRDefault="00445FC5" w:rsidP="001B03FB">
      <w:pPr>
        <w:pStyle w:val="ListParagraph"/>
        <w:numPr>
          <w:ilvl w:val="0"/>
          <w:numId w:val="6"/>
        </w:numPr>
        <w:pBdr>
          <w:top w:val="nil"/>
          <w:left w:val="nil"/>
          <w:bottom w:val="nil"/>
          <w:right w:val="nil"/>
          <w:between w:val="nil"/>
          <w:bar w:val="nil"/>
        </w:pBdr>
      </w:pPr>
      <w:r w:rsidRPr="00445FC5">
        <w:t>The Anti-Social Behaviour, Crime and Policing Act 2014 (‘the Act’) gai</w:t>
      </w:r>
      <w:r w:rsidR="008C7724">
        <w:t>ned Royal Assent in April 2014 and gives t</w:t>
      </w:r>
      <w:r w:rsidRPr="00445FC5">
        <w:t xml:space="preserve">he power to make an Order </w:t>
      </w:r>
      <w:r w:rsidR="008C7724">
        <w:t>to</w:t>
      </w:r>
      <w:r w:rsidRPr="00445FC5">
        <w:t xml:space="preserve"> local authorities, in consultation with the police and other relevant bodies who may be affected.</w:t>
      </w:r>
    </w:p>
    <w:p w14:paraId="0F476AF1" w14:textId="77777777" w:rsidR="00445FC5" w:rsidRPr="00445FC5" w:rsidRDefault="00445FC5" w:rsidP="001B03FB">
      <w:pPr>
        <w:pStyle w:val="ListParagraph"/>
        <w:numPr>
          <w:ilvl w:val="0"/>
          <w:numId w:val="6"/>
        </w:numPr>
        <w:pBdr>
          <w:top w:val="nil"/>
          <w:left w:val="nil"/>
          <w:bottom w:val="nil"/>
          <w:right w:val="nil"/>
          <w:between w:val="nil"/>
          <w:bar w:val="nil"/>
        </w:pBdr>
      </w:pPr>
      <w:r w:rsidRPr="00445FC5">
        <w:t xml:space="preserve">A local authority can make a PSPO in respect of any public space within its administrative boundary. The definition of public space is wide and includes any place to which the public or any section of the public has access, on payment or otherwise, as of right or by virtue of express or implied permission. </w:t>
      </w:r>
    </w:p>
    <w:p w14:paraId="41DE58DF" w14:textId="3CE4758E" w:rsidR="00445FC5" w:rsidRPr="00445FC5" w:rsidRDefault="00445FC5" w:rsidP="001B03FB">
      <w:pPr>
        <w:pStyle w:val="ListParagraph"/>
        <w:numPr>
          <w:ilvl w:val="0"/>
          <w:numId w:val="6"/>
        </w:numPr>
        <w:pBdr>
          <w:top w:val="nil"/>
          <w:left w:val="nil"/>
          <w:bottom w:val="nil"/>
          <w:right w:val="nil"/>
          <w:between w:val="nil"/>
          <w:bar w:val="nil"/>
        </w:pBdr>
      </w:pPr>
      <w:r w:rsidRPr="00445FC5">
        <w:t>A PSPO can be in force for any period up to a maximum of three years.</w:t>
      </w:r>
      <w:r w:rsidR="007A251B">
        <w:t xml:space="preserve">  The </w:t>
      </w:r>
      <w:r w:rsidR="003D792F">
        <w:t>legal requirements of</w:t>
      </w:r>
      <w:r w:rsidR="007A251B">
        <w:t xml:space="preserve"> implementing a PSPO </w:t>
      </w:r>
      <w:r w:rsidR="00AE44DE">
        <w:t>are</w:t>
      </w:r>
      <w:r w:rsidR="007A251B">
        <w:t xml:space="preserve"> described in Appendix 3.</w:t>
      </w:r>
    </w:p>
    <w:p w14:paraId="0A043B22" w14:textId="77777777" w:rsidR="00445FC5" w:rsidRPr="00445FC5" w:rsidRDefault="00445FC5" w:rsidP="001B03FB">
      <w:pPr>
        <w:pStyle w:val="ListParagraph"/>
        <w:numPr>
          <w:ilvl w:val="0"/>
          <w:numId w:val="6"/>
        </w:numPr>
        <w:pBdr>
          <w:top w:val="nil"/>
          <w:left w:val="nil"/>
          <w:bottom w:val="nil"/>
          <w:right w:val="nil"/>
          <w:between w:val="nil"/>
          <w:bar w:val="nil"/>
        </w:pBdr>
      </w:pPr>
      <w:r w:rsidRPr="00445FC5">
        <w:t xml:space="preserve">Appeals against a draft PSPO can be made in the High Court within six weeks of issue by anyone who lives in, or regularly works in or visits the area. </w:t>
      </w:r>
    </w:p>
    <w:p w14:paraId="5F5D2BD7" w14:textId="237E8C8C" w:rsidR="005D5010" w:rsidRDefault="005D5010" w:rsidP="001B03FB">
      <w:pPr>
        <w:pStyle w:val="ListParagraph"/>
        <w:numPr>
          <w:ilvl w:val="0"/>
          <w:numId w:val="6"/>
        </w:numPr>
        <w:pBdr>
          <w:top w:val="nil"/>
          <w:left w:val="nil"/>
          <w:bottom w:val="nil"/>
          <w:right w:val="nil"/>
          <w:between w:val="nil"/>
          <w:bar w:val="nil"/>
        </w:pBdr>
      </w:pPr>
      <w:r>
        <w:t xml:space="preserve">The PSPOs are enforced by authorised officers within the Council or police officers.  Oxford City Council </w:t>
      </w:r>
      <w:r w:rsidR="00AE44DE">
        <w:t>is</w:t>
      </w:r>
      <w:r>
        <w:t xml:space="preserve"> the prosecuting authority.</w:t>
      </w:r>
    </w:p>
    <w:p w14:paraId="1467C28E" w14:textId="77777777" w:rsidR="00445FC5" w:rsidRDefault="00445FC5" w:rsidP="001B03FB">
      <w:pPr>
        <w:pStyle w:val="ListParagraph"/>
        <w:numPr>
          <w:ilvl w:val="0"/>
          <w:numId w:val="6"/>
        </w:numPr>
        <w:pBdr>
          <w:top w:val="nil"/>
          <w:left w:val="nil"/>
          <w:bottom w:val="nil"/>
          <w:right w:val="nil"/>
          <w:between w:val="nil"/>
          <w:bar w:val="nil"/>
        </w:pBdr>
      </w:pPr>
      <w:r w:rsidRPr="00445FC5">
        <w:t xml:space="preserve">A breach of the </w:t>
      </w:r>
      <w:r w:rsidR="005D5010">
        <w:t xml:space="preserve">Dog Control </w:t>
      </w:r>
      <w:r w:rsidRPr="00445FC5">
        <w:t>PSPO can be dealt with through the issuing of a Fixed Penalty Notice of up to £100, or a level 3 fine of up to £1000</w:t>
      </w:r>
      <w:r w:rsidR="003D792F">
        <w:t xml:space="preserve"> on conviction following prosecution. </w:t>
      </w:r>
    </w:p>
    <w:p w14:paraId="6B9F8731" w14:textId="77777777" w:rsidR="005D5010" w:rsidRPr="00445FC5" w:rsidRDefault="005D5010" w:rsidP="001B03FB">
      <w:pPr>
        <w:pStyle w:val="ListParagraph"/>
        <w:numPr>
          <w:ilvl w:val="0"/>
          <w:numId w:val="6"/>
        </w:numPr>
        <w:pBdr>
          <w:top w:val="nil"/>
          <w:left w:val="nil"/>
          <w:bottom w:val="nil"/>
          <w:right w:val="nil"/>
          <w:between w:val="nil"/>
          <w:bar w:val="nil"/>
        </w:pBdr>
      </w:pPr>
      <w:r w:rsidRPr="00445FC5">
        <w:t xml:space="preserve">A breach of </w:t>
      </w:r>
      <w:r w:rsidR="00313FBA">
        <w:t xml:space="preserve">the </w:t>
      </w:r>
      <w:r>
        <w:t xml:space="preserve">Alcohol Disorder </w:t>
      </w:r>
      <w:r w:rsidRPr="00445FC5">
        <w:t>PSPO can be dealt with through the issuing of a Fixed Penalty N</w:t>
      </w:r>
      <w:r w:rsidR="00313FBA">
        <w:t xml:space="preserve">otice of up to £100, or a level 2 fine of up to £500 </w:t>
      </w:r>
      <w:r w:rsidRPr="00445FC5">
        <w:t xml:space="preserve">on </w:t>
      </w:r>
      <w:r w:rsidR="003D792F">
        <w:t xml:space="preserve">conviction following prosecution. </w:t>
      </w:r>
    </w:p>
    <w:p w14:paraId="62125930" w14:textId="77777777" w:rsidR="007A251B" w:rsidRDefault="007A251B" w:rsidP="001B03FB">
      <w:pPr>
        <w:pStyle w:val="ListParagraph"/>
        <w:numPr>
          <w:ilvl w:val="0"/>
          <w:numId w:val="6"/>
        </w:numPr>
        <w:pBdr>
          <w:top w:val="nil"/>
          <w:left w:val="nil"/>
          <w:bottom w:val="nil"/>
          <w:right w:val="nil"/>
          <w:between w:val="nil"/>
          <w:bar w:val="nil"/>
        </w:pBdr>
      </w:pPr>
      <w:r>
        <w:t xml:space="preserve">The Council has a graduated approach to enforcement that is set out in the Anti-social Behaviour Enforcement Policy. This requires officers to operate the lowest possible level of intervention that is suitable to the case, most often involving a </w:t>
      </w:r>
      <w:r>
        <w:lastRenderedPageBreak/>
        <w:t>process of engagement and words of advice.  Other legal remedies are described in Appendix 9.</w:t>
      </w:r>
    </w:p>
    <w:p w14:paraId="74F45FF9" w14:textId="77777777" w:rsidR="00445FC5" w:rsidRPr="00445FC5" w:rsidRDefault="00445FC5" w:rsidP="001B03FB">
      <w:pPr>
        <w:pStyle w:val="ListParagraph"/>
        <w:numPr>
          <w:ilvl w:val="0"/>
          <w:numId w:val="6"/>
        </w:numPr>
        <w:pBdr>
          <w:top w:val="nil"/>
          <w:left w:val="nil"/>
          <w:bottom w:val="nil"/>
          <w:right w:val="nil"/>
          <w:between w:val="nil"/>
          <w:bar w:val="nil"/>
        </w:pBdr>
      </w:pPr>
      <w:r w:rsidRPr="00445FC5">
        <w:t>The Authority is also bound by the terms of the Human Rights Act 1998 and must not act in a way which is incompatible with a Convention right. Human rights are enforced through existing rights of review and may therefore be taken as points in any challenge to the validity of any Order made by the Authority.</w:t>
      </w:r>
    </w:p>
    <w:p w14:paraId="5E12D5FB" w14:textId="77777777" w:rsidR="00445FC5" w:rsidRDefault="00445FC5" w:rsidP="001B03FB">
      <w:pPr>
        <w:pStyle w:val="ListParagraph"/>
        <w:numPr>
          <w:ilvl w:val="0"/>
          <w:numId w:val="6"/>
        </w:numPr>
        <w:pBdr>
          <w:top w:val="nil"/>
          <w:left w:val="nil"/>
          <w:bottom w:val="nil"/>
          <w:right w:val="nil"/>
          <w:between w:val="nil"/>
          <w:bar w:val="nil"/>
        </w:pBdr>
      </w:pPr>
      <w:r w:rsidRPr="00445FC5">
        <w:t xml:space="preserve">The </w:t>
      </w:r>
      <w:r w:rsidR="007B363D">
        <w:t>Cabinet</w:t>
      </w:r>
      <w:r w:rsidRPr="00445FC5">
        <w:t xml:space="preserve"> must have regard to the public sector equality duty at s149 of the Equality Act 2010</w:t>
      </w:r>
      <w:r>
        <w:t xml:space="preserve"> as set out in the Equality Impact Assessment</w:t>
      </w:r>
      <w:r w:rsidR="007A251B">
        <w:t>s (Appendices 10 and 11</w:t>
      </w:r>
      <w:r>
        <w:t>).</w:t>
      </w:r>
      <w:r w:rsidRPr="00445FC5">
        <w:t xml:space="preserve"> </w:t>
      </w:r>
    </w:p>
    <w:p w14:paraId="13A7E836" w14:textId="2F571486" w:rsidR="007B363D" w:rsidRPr="00445FC5" w:rsidRDefault="007B363D" w:rsidP="007B363D">
      <w:pPr>
        <w:pStyle w:val="ListParagraph"/>
        <w:numPr>
          <w:ilvl w:val="0"/>
          <w:numId w:val="6"/>
        </w:numPr>
        <w:pBdr>
          <w:top w:val="nil"/>
          <w:left w:val="nil"/>
          <w:bottom w:val="nil"/>
          <w:right w:val="nil"/>
          <w:between w:val="nil"/>
          <w:bar w:val="nil"/>
        </w:pBdr>
      </w:pPr>
      <w:r>
        <w:t>The Oxford Safer Communities Partnership w</w:t>
      </w:r>
      <w:r w:rsidR="00AE44DE">
        <w:t>as</w:t>
      </w:r>
      <w:r>
        <w:t xml:space="preserve"> presented with the draft PSPOs at </w:t>
      </w:r>
      <w:r w:rsidR="00AE44DE">
        <w:t>i</w:t>
      </w:r>
      <w:r>
        <w:t>t</w:t>
      </w:r>
      <w:r w:rsidR="00AE44DE">
        <w:t>s</w:t>
      </w:r>
      <w:r>
        <w:t xml:space="preserve"> meeting on the 5 October</w:t>
      </w:r>
      <w:r w:rsidR="00AE44DE">
        <w:t xml:space="preserve"> 2020</w:t>
      </w:r>
      <w:r>
        <w:t>.  The partnership was supportive of the draft Orders with adequate signage place</w:t>
      </w:r>
      <w:r w:rsidR="00AE44DE">
        <w:t>d</w:t>
      </w:r>
      <w:r>
        <w:t xml:space="preserve"> at strategic points in the city.</w:t>
      </w:r>
    </w:p>
    <w:p w14:paraId="2B8413EB" w14:textId="77777777" w:rsidR="001D1D47" w:rsidRPr="001D1D47" w:rsidRDefault="00D073FF" w:rsidP="001D1D47">
      <w:pPr>
        <w:pBdr>
          <w:top w:val="nil"/>
          <w:left w:val="nil"/>
          <w:bottom w:val="nil"/>
          <w:right w:val="nil"/>
          <w:between w:val="nil"/>
          <w:bar w:val="nil"/>
        </w:pBdr>
        <w:rPr>
          <w:b/>
        </w:rPr>
      </w:pPr>
      <w:r>
        <w:rPr>
          <w:b/>
        </w:rPr>
        <w:t xml:space="preserve">Current </w:t>
      </w:r>
      <w:r w:rsidR="001D1D47" w:rsidRPr="001D1D47">
        <w:rPr>
          <w:b/>
        </w:rPr>
        <w:t>Dog Control PSPO</w:t>
      </w:r>
    </w:p>
    <w:p w14:paraId="04FCEFF9" w14:textId="77777777" w:rsidR="001D1D47" w:rsidRDefault="001D1D47" w:rsidP="001B03FB">
      <w:pPr>
        <w:pStyle w:val="ListParagraph"/>
        <w:numPr>
          <w:ilvl w:val="0"/>
          <w:numId w:val="6"/>
        </w:numPr>
        <w:pBdr>
          <w:top w:val="nil"/>
          <w:left w:val="nil"/>
          <w:bottom w:val="nil"/>
          <w:right w:val="nil"/>
          <w:between w:val="nil"/>
          <w:bar w:val="nil"/>
        </w:pBdr>
      </w:pPr>
      <w:r>
        <w:t xml:space="preserve">The current Dog Control PSPO (Appendix </w:t>
      </w:r>
      <w:r w:rsidR="007A251B">
        <w:t>7</w:t>
      </w:r>
      <w:r>
        <w:t xml:space="preserve">) </w:t>
      </w:r>
      <w:r w:rsidR="00D073FF">
        <w:t xml:space="preserve">makes it an offence for persons in charge of a dog to breach, without a reasonable excuse, </w:t>
      </w:r>
      <w:r>
        <w:t>four restrictions or requirements within the Oxford City Council local authority boundary.  These are:</w:t>
      </w:r>
    </w:p>
    <w:p w14:paraId="768ECF83" w14:textId="77777777" w:rsidR="001D1D47" w:rsidRDefault="001D1D47" w:rsidP="001B03FB">
      <w:pPr>
        <w:pStyle w:val="ListParagraph"/>
        <w:numPr>
          <w:ilvl w:val="0"/>
          <w:numId w:val="7"/>
        </w:numPr>
        <w:pBdr>
          <w:top w:val="nil"/>
          <w:left w:val="nil"/>
          <w:bottom w:val="nil"/>
          <w:right w:val="nil"/>
          <w:between w:val="nil"/>
          <w:bar w:val="nil"/>
        </w:pBdr>
      </w:pPr>
      <w:r>
        <w:t>An authorised officer has the power to require a dog to be put on a lead.</w:t>
      </w:r>
    </w:p>
    <w:p w14:paraId="5FBBCD4C" w14:textId="77777777" w:rsidR="001D1D47" w:rsidRDefault="001D1D47" w:rsidP="001B03FB">
      <w:pPr>
        <w:pStyle w:val="ListParagraph"/>
        <w:numPr>
          <w:ilvl w:val="0"/>
          <w:numId w:val="7"/>
        </w:numPr>
        <w:pBdr>
          <w:top w:val="nil"/>
          <w:left w:val="nil"/>
          <w:bottom w:val="nil"/>
          <w:right w:val="nil"/>
          <w:between w:val="nil"/>
          <w:bar w:val="nil"/>
        </w:pBdr>
      </w:pPr>
      <w:r>
        <w:t>A person may not be in charge of any more than four dogs in a public place.</w:t>
      </w:r>
    </w:p>
    <w:p w14:paraId="42BFCE6D" w14:textId="77777777" w:rsidR="001D1D47" w:rsidRDefault="001D1D47" w:rsidP="001B03FB">
      <w:pPr>
        <w:pStyle w:val="ListParagraph"/>
        <w:numPr>
          <w:ilvl w:val="0"/>
          <w:numId w:val="7"/>
        </w:numPr>
        <w:pBdr>
          <w:top w:val="nil"/>
          <w:left w:val="nil"/>
          <w:bottom w:val="nil"/>
          <w:right w:val="nil"/>
          <w:between w:val="nil"/>
          <w:bar w:val="nil"/>
        </w:pBdr>
      </w:pPr>
      <w:r>
        <w:t>A person in charge of a dog must pick up their dogs faeces.</w:t>
      </w:r>
    </w:p>
    <w:p w14:paraId="535F0210" w14:textId="77777777" w:rsidR="001D1D47" w:rsidRDefault="001D1D47" w:rsidP="001B03FB">
      <w:pPr>
        <w:pStyle w:val="ListParagraph"/>
        <w:numPr>
          <w:ilvl w:val="0"/>
          <w:numId w:val="7"/>
        </w:numPr>
        <w:pBdr>
          <w:top w:val="nil"/>
          <w:left w:val="nil"/>
          <w:bottom w:val="nil"/>
          <w:right w:val="nil"/>
          <w:between w:val="nil"/>
          <w:bar w:val="nil"/>
        </w:pBdr>
      </w:pPr>
      <w:r>
        <w:t>A person in charge of a dog must not let it enter a children’s play park.</w:t>
      </w:r>
    </w:p>
    <w:p w14:paraId="7EDF112D" w14:textId="77777777" w:rsidR="00D073FF" w:rsidRDefault="00A7624C" w:rsidP="001B03FB">
      <w:pPr>
        <w:pStyle w:val="ListParagraph"/>
        <w:numPr>
          <w:ilvl w:val="0"/>
          <w:numId w:val="6"/>
        </w:numPr>
        <w:pBdr>
          <w:top w:val="nil"/>
          <w:left w:val="nil"/>
          <w:bottom w:val="nil"/>
          <w:right w:val="nil"/>
          <w:between w:val="nil"/>
          <w:bar w:val="nil"/>
        </w:pBdr>
      </w:pPr>
      <w:r>
        <w:t>There are exemptions for people who need the help of assistance dogs</w:t>
      </w:r>
      <w:r w:rsidR="00D073FF" w:rsidRPr="00D073FF">
        <w:t xml:space="preserve">. </w:t>
      </w:r>
    </w:p>
    <w:p w14:paraId="4EA2E4BB" w14:textId="77777777" w:rsidR="00D073FF" w:rsidRDefault="00D073FF" w:rsidP="00D618DF">
      <w:pPr>
        <w:pStyle w:val="ListParagraph"/>
        <w:numPr>
          <w:ilvl w:val="0"/>
          <w:numId w:val="6"/>
        </w:numPr>
        <w:pBdr>
          <w:top w:val="nil"/>
          <w:left w:val="nil"/>
          <w:bottom w:val="nil"/>
          <w:right w:val="nil"/>
          <w:between w:val="nil"/>
          <w:bar w:val="nil"/>
        </w:pBdr>
      </w:pPr>
      <w:r>
        <w:t>There is a separate Dog Control PSPO for S</w:t>
      </w:r>
      <w:r w:rsidR="0033413A">
        <w:t>aint</w:t>
      </w:r>
      <w:r w:rsidR="00AD085C">
        <w:t xml:space="preserve"> </w:t>
      </w:r>
      <w:r>
        <w:t xml:space="preserve">Mary and </w:t>
      </w:r>
      <w:r w:rsidR="0033413A">
        <w:t xml:space="preserve">Saint </w:t>
      </w:r>
      <w:r>
        <w:t>John Churchyard</w:t>
      </w:r>
      <w:r w:rsidR="00A7624C">
        <w:t xml:space="preserve">, </w:t>
      </w:r>
      <w:r>
        <w:t>Cowley Road.  A single restriction requires dogs to be on a lead at all times, as opposed to when requested by an authorised officer.</w:t>
      </w:r>
      <w:r w:rsidR="007A251B">
        <w:t xml:space="preserve">  I</w:t>
      </w:r>
      <w:r>
        <w:t>t is not proposed to renew this PSPO but to include the area in the new Dog Control PSPO.</w:t>
      </w:r>
    </w:p>
    <w:p w14:paraId="5A2DBDA9" w14:textId="77777777" w:rsidR="00313FBA" w:rsidRDefault="00313FBA" w:rsidP="001B03FB">
      <w:pPr>
        <w:pStyle w:val="ListParagraph"/>
        <w:numPr>
          <w:ilvl w:val="0"/>
          <w:numId w:val="6"/>
        </w:numPr>
        <w:pBdr>
          <w:top w:val="nil"/>
          <w:left w:val="nil"/>
          <w:bottom w:val="nil"/>
          <w:right w:val="nil"/>
          <w:between w:val="nil"/>
          <w:bar w:val="nil"/>
        </w:pBdr>
      </w:pPr>
      <w:r>
        <w:t xml:space="preserve">Evidence relating to dog control can be found in more detail in Appendix </w:t>
      </w:r>
      <w:r w:rsidR="007A251B">
        <w:t>5</w:t>
      </w:r>
      <w:r>
        <w:t xml:space="preserve">.  </w:t>
      </w:r>
      <w:r w:rsidR="005A2627">
        <w:t>Dog f</w:t>
      </w:r>
      <w:r w:rsidR="00A7624C">
        <w:t xml:space="preserve">ouling data illustrates a wide </w:t>
      </w:r>
      <w:r w:rsidR="005A2627">
        <w:t>spread of reports across the local authority area.</w:t>
      </w:r>
      <w:r w:rsidR="002F1D2A">
        <w:t xml:space="preserve">  Data on dogs in children’s play parks, out of control</w:t>
      </w:r>
      <w:r w:rsidR="00D618DF">
        <w:t xml:space="preserve">, </w:t>
      </w:r>
      <w:r w:rsidR="002F1D2A">
        <w:t>off a lead, or owners responsible for more than 4 dogs is very limited.  This could be a result of the impact of the Order, under-reporting of actual incidents or permanent behaviour change.</w:t>
      </w:r>
    </w:p>
    <w:p w14:paraId="27D1F388" w14:textId="77777777" w:rsidR="007A251B" w:rsidRDefault="0048554F" w:rsidP="001B03FB">
      <w:pPr>
        <w:pStyle w:val="ListParagraph"/>
        <w:numPr>
          <w:ilvl w:val="0"/>
          <w:numId w:val="6"/>
        </w:numPr>
        <w:pBdr>
          <w:top w:val="nil"/>
          <w:left w:val="nil"/>
          <w:bottom w:val="nil"/>
          <w:right w:val="nil"/>
          <w:between w:val="nil"/>
          <w:bar w:val="nil"/>
        </w:pBdr>
      </w:pPr>
      <w:r>
        <w:t>Consultation resp</w:t>
      </w:r>
      <w:r w:rsidR="007A251B">
        <w:t>onses can be found in Appendix 4</w:t>
      </w:r>
      <w:r>
        <w:t>.  In summary</w:t>
      </w:r>
      <w:r w:rsidR="007A251B">
        <w:t>:</w:t>
      </w:r>
    </w:p>
    <w:p w14:paraId="3C787AE7" w14:textId="77777777" w:rsidR="007A251B" w:rsidRPr="00295F6D" w:rsidRDefault="007A251B" w:rsidP="001B03FB">
      <w:pPr>
        <w:pStyle w:val="ListParagraph"/>
        <w:numPr>
          <w:ilvl w:val="1"/>
          <w:numId w:val="8"/>
        </w:numPr>
        <w:tabs>
          <w:tab w:val="clear" w:pos="426"/>
        </w:tabs>
        <w:autoSpaceDE w:val="0"/>
        <w:autoSpaceDN w:val="0"/>
        <w:adjustRightInd w:val="0"/>
        <w:spacing w:after="0"/>
        <w:contextualSpacing/>
        <w:rPr>
          <w:rFonts w:cs="Arial"/>
        </w:rPr>
      </w:pPr>
      <w:r w:rsidRPr="00295F6D">
        <w:rPr>
          <w:rFonts w:cs="Arial"/>
        </w:rPr>
        <w:t>78% of respondents disagree with allowing dogs into children’s play parks.  13% were neutral.</w:t>
      </w:r>
    </w:p>
    <w:p w14:paraId="750FC93B" w14:textId="77777777" w:rsidR="007A251B" w:rsidRPr="00295F6D" w:rsidRDefault="007A251B" w:rsidP="001B03FB">
      <w:pPr>
        <w:pStyle w:val="ListParagraph"/>
        <w:numPr>
          <w:ilvl w:val="1"/>
          <w:numId w:val="8"/>
        </w:numPr>
        <w:tabs>
          <w:tab w:val="clear" w:pos="426"/>
        </w:tabs>
        <w:autoSpaceDE w:val="0"/>
        <w:autoSpaceDN w:val="0"/>
        <w:adjustRightInd w:val="0"/>
        <w:spacing w:after="0"/>
        <w:contextualSpacing/>
        <w:rPr>
          <w:rFonts w:cs="Arial"/>
        </w:rPr>
      </w:pPr>
      <w:r w:rsidRPr="00295F6D">
        <w:rPr>
          <w:rFonts w:cs="Arial"/>
        </w:rPr>
        <w:t>94% of respondents felt that owners should pick up their dog mess anywhere in the city.</w:t>
      </w:r>
    </w:p>
    <w:p w14:paraId="79A7CA0D" w14:textId="77777777" w:rsidR="007A251B" w:rsidRPr="00295F6D" w:rsidRDefault="007A251B" w:rsidP="001B03FB">
      <w:pPr>
        <w:pStyle w:val="ListParagraph"/>
        <w:numPr>
          <w:ilvl w:val="1"/>
          <w:numId w:val="8"/>
        </w:numPr>
        <w:tabs>
          <w:tab w:val="clear" w:pos="426"/>
        </w:tabs>
        <w:autoSpaceDE w:val="0"/>
        <w:autoSpaceDN w:val="0"/>
        <w:adjustRightInd w:val="0"/>
        <w:spacing w:after="0"/>
        <w:contextualSpacing/>
        <w:rPr>
          <w:rFonts w:cs="Arial"/>
        </w:rPr>
      </w:pPr>
      <w:r w:rsidRPr="00295F6D">
        <w:rPr>
          <w:rFonts w:cs="Arial"/>
        </w:rPr>
        <w:t>63% of respondents disagreed or strongly disagreed with the statement that dog owners should not be restricted on the number of dogs under their control at any one time.</w:t>
      </w:r>
    </w:p>
    <w:p w14:paraId="34FF4B09" w14:textId="77777777" w:rsidR="007A251B" w:rsidRPr="00295F6D" w:rsidRDefault="007A251B" w:rsidP="001B03FB">
      <w:pPr>
        <w:pStyle w:val="ListParagraph"/>
        <w:numPr>
          <w:ilvl w:val="1"/>
          <w:numId w:val="8"/>
        </w:numPr>
        <w:tabs>
          <w:tab w:val="clear" w:pos="426"/>
        </w:tabs>
        <w:autoSpaceDE w:val="0"/>
        <w:autoSpaceDN w:val="0"/>
        <w:adjustRightInd w:val="0"/>
        <w:spacing w:after="0"/>
        <w:contextualSpacing/>
        <w:rPr>
          <w:rFonts w:cs="Arial"/>
        </w:rPr>
      </w:pPr>
      <w:r w:rsidRPr="00295F6D">
        <w:rPr>
          <w:rFonts w:cs="Arial"/>
        </w:rPr>
        <w:t>94% of respondents said that owners should put their dog on a lead if asked by a Council or Police Officer.</w:t>
      </w:r>
    </w:p>
    <w:p w14:paraId="40EE6AEA" w14:textId="77777777" w:rsidR="007A251B" w:rsidRPr="00295F6D" w:rsidRDefault="007A251B" w:rsidP="001B03FB">
      <w:pPr>
        <w:pStyle w:val="ListParagraph"/>
        <w:numPr>
          <w:ilvl w:val="1"/>
          <w:numId w:val="8"/>
        </w:numPr>
        <w:tabs>
          <w:tab w:val="clear" w:pos="426"/>
        </w:tabs>
        <w:autoSpaceDE w:val="0"/>
        <w:autoSpaceDN w:val="0"/>
        <w:adjustRightInd w:val="0"/>
        <w:spacing w:after="0"/>
        <w:contextualSpacing/>
        <w:rPr>
          <w:rFonts w:cs="Arial"/>
        </w:rPr>
      </w:pPr>
      <w:r w:rsidRPr="00295F6D">
        <w:rPr>
          <w:rFonts w:cs="Arial"/>
        </w:rPr>
        <w:t>60% of respondents agreed that dogs should be kept on leads at all times in the city centre.</w:t>
      </w:r>
    </w:p>
    <w:p w14:paraId="15887A43" w14:textId="77777777" w:rsidR="00A7624C" w:rsidRDefault="00A7624C" w:rsidP="00D073FF">
      <w:pPr>
        <w:pBdr>
          <w:top w:val="nil"/>
          <w:left w:val="nil"/>
          <w:bottom w:val="nil"/>
          <w:right w:val="nil"/>
          <w:between w:val="nil"/>
          <w:bar w:val="nil"/>
        </w:pBdr>
        <w:rPr>
          <w:b/>
        </w:rPr>
      </w:pPr>
    </w:p>
    <w:p w14:paraId="2FC71B5B" w14:textId="77777777" w:rsidR="001D1D47" w:rsidRPr="00D073FF" w:rsidRDefault="00D073FF" w:rsidP="00D073FF">
      <w:pPr>
        <w:pBdr>
          <w:top w:val="nil"/>
          <w:left w:val="nil"/>
          <w:bottom w:val="nil"/>
          <w:right w:val="nil"/>
          <w:between w:val="nil"/>
          <w:bar w:val="nil"/>
        </w:pBdr>
        <w:rPr>
          <w:b/>
        </w:rPr>
      </w:pPr>
      <w:r w:rsidRPr="00D073FF">
        <w:rPr>
          <w:b/>
        </w:rPr>
        <w:t xml:space="preserve">Current Alcohol </w:t>
      </w:r>
      <w:r>
        <w:rPr>
          <w:b/>
        </w:rPr>
        <w:t>Disorder</w:t>
      </w:r>
      <w:r w:rsidRPr="00D073FF">
        <w:rPr>
          <w:b/>
        </w:rPr>
        <w:t xml:space="preserve"> PSPO</w:t>
      </w:r>
    </w:p>
    <w:p w14:paraId="047142AF" w14:textId="77777777" w:rsidR="00D073FF" w:rsidRDefault="00D073FF" w:rsidP="001B03FB">
      <w:pPr>
        <w:pStyle w:val="ListParagraph"/>
        <w:numPr>
          <w:ilvl w:val="0"/>
          <w:numId w:val="6"/>
        </w:numPr>
        <w:pBdr>
          <w:top w:val="nil"/>
          <w:left w:val="nil"/>
          <w:bottom w:val="nil"/>
          <w:right w:val="nil"/>
          <w:between w:val="nil"/>
          <w:bar w:val="nil"/>
        </w:pBdr>
      </w:pPr>
      <w:r>
        <w:t xml:space="preserve">The current Alcohol Disorder PSPO </w:t>
      </w:r>
      <w:r w:rsidR="007A251B">
        <w:t xml:space="preserve">(Appendix 8) </w:t>
      </w:r>
      <w:r>
        <w:t xml:space="preserve">makes it an offence </w:t>
      </w:r>
      <w:r w:rsidRPr="00D073FF">
        <w:t>for any person to refuse to stop drinking alcohol or hand over any containers (sealed or unsealed) which are believed to contain alcohol, when required to do so by a police officer or authorised officer in order to prevent public nuisance or disorder</w:t>
      </w:r>
      <w:r w:rsidR="005A7B51">
        <w:t>.</w:t>
      </w:r>
    </w:p>
    <w:p w14:paraId="0817F823" w14:textId="77777777" w:rsidR="005A7B51" w:rsidRDefault="005A7B51" w:rsidP="001B03FB">
      <w:pPr>
        <w:pStyle w:val="ListParagraph"/>
        <w:numPr>
          <w:ilvl w:val="0"/>
          <w:numId w:val="6"/>
        </w:numPr>
        <w:pBdr>
          <w:top w:val="nil"/>
          <w:left w:val="nil"/>
          <w:bottom w:val="nil"/>
          <w:right w:val="nil"/>
          <w:between w:val="nil"/>
          <w:bar w:val="nil"/>
        </w:pBdr>
      </w:pPr>
      <w:r>
        <w:t>This restriction does not apply within the curtilage of a licensed premise.</w:t>
      </w:r>
    </w:p>
    <w:p w14:paraId="1A9711E9" w14:textId="77777777" w:rsidR="00333925" w:rsidRPr="00D073FF" w:rsidRDefault="00333925" w:rsidP="001B03FB">
      <w:pPr>
        <w:pStyle w:val="ListParagraph"/>
        <w:numPr>
          <w:ilvl w:val="0"/>
          <w:numId w:val="6"/>
        </w:numPr>
        <w:pBdr>
          <w:top w:val="nil"/>
          <w:left w:val="nil"/>
          <w:bottom w:val="nil"/>
          <w:right w:val="nil"/>
          <w:between w:val="nil"/>
          <w:bar w:val="nil"/>
        </w:pBdr>
      </w:pPr>
      <w:r>
        <w:t xml:space="preserve">Evidence relating to </w:t>
      </w:r>
      <w:r w:rsidR="00E77C19">
        <w:t xml:space="preserve">alcohol disorder </w:t>
      </w:r>
      <w:r>
        <w:t>can be fo</w:t>
      </w:r>
      <w:r w:rsidR="007A251B">
        <w:t>und in more detail in Appendix 5</w:t>
      </w:r>
      <w:r>
        <w:t xml:space="preserve">.  In summary, </w:t>
      </w:r>
      <w:r w:rsidR="00A7624C">
        <w:t xml:space="preserve">public space </w:t>
      </w:r>
      <w:r w:rsidR="00E77C19">
        <w:t>alcohol-related disorder occurs primarily in retail and entertainment areas</w:t>
      </w:r>
      <w:r>
        <w:t>.</w:t>
      </w:r>
      <w:r w:rsidR="00E77C19">
        <w:t xml:space="preserve">  Incidents within neighbourhoods tend to relate to residential properties</w:t>
      </w:r>
      <w:r w:rsidR="00A7624C">
        <w:t>, therefore t</w:t>
      </w:r>
      <w:r w:rsidR="00E77C19">
        <w:t xml:space="preserve">he data does not support the continuation of a citywide Alcohol Disorder PSPO.  However, displacement is a significant issue in regards to street drinking and therefore the proposed PSPO area includes some </w:t>
      </w:r>
      <w:r w:rsidR="00A7624C">
        <w:t>neighbouring</w:t>
      </w:r>
      <w:r w:rsidR="00E77C19">
        <w:t xml:space="preserve"> areas.</w:t>
      </w:r>
    </w:p>
    <w:p w14:paraId="3096DE27" w14:textId="351C37A4" w:rsidR="00333925" w:rsidRDefault="00333925" w:rsidP="001B03FB">
      <w:pPr>
        <w:pStyle w:val="ListParagraph"/>
        <w:numPr>
          <w:ilvl w:val="0"/>
          <w:numId w:val="6"/>
        </w:numPr>
        <w:pBdr>
          <w:top w:val="nil"/>
          <w:left w:val="nil"/>
          <w:bottom w:val="nil"/>
          <w:right w:val="nil"/>
          <w:between w:val="nil"/>
          <w:bar w:val="nil"/>
        </w:pBdr>
      </w:pPr>
      <w:r>
        <w:t xml:space="preserve">Consultation responses can be found in Appendix </w:t>
      </w:r>
      <w:r w:rsidR="00E77C19">
        <w:t>4</w:t>
      </w:r>
      <w:r>
        <w:t xml:space="preserve">.  </w:t>
      </w:r>
      <w:r w:rsidR="00E77C19">
        <w:t>T</w:t>
      </w:r>
      <w:r>
        <w:t xml:space="preserve">here is widespread support for the power to restrict alcohol consumption where it causes anti-social behaviour.  </w:t>
      </w:r>
      <w:r w:rsidR="008245C1">
        <w:t>Just under</w:t>
      </w:r>
      <w:r>
        <w:t xml:space="preserve"> 300 respondents identified specific localities </w:t>
      </w:r>
      <w:r w:rsidR="00B646DB">
        <w:t>associated with alcohol-related disorder.</w:t>
      </w:r>
      <w:r w:rsidR="00E77C19">
        <w:t xml:space="preserve">  In summary:</w:t>
      </w:r>
    </w:p>
    <w:p w14:paraId="26D55516" w14:textId="77777777" w:rsidR="00E77C19" w:rsidRPr="00295F6D" w:rsidRDefault="00E77C19" w:rsidP="001B03FB">
      <w:pPr>
        <w:pStyle w:val="ListParagraph"/>
        <w:numPr>
          <w:ilvl w:val="0"/>
          <w:numId w:val="9"/>
        </w:numPr>
        <w:tabs>
          <w:tab w:val="clear" w:pos="426"/>
        </w:tabs>
        <w:autoSpaceDE w:val="0"/>
        <w:autoSpaceDN w:val="0"/>
        <w:adjustRightInd w:val="0"/>
        <w:spacing w:after="0"/>
        <w:contextualSpacing/>
        <w:rPr>
          <w:rFonts w:cs="Arial"/>
        </w:rPr>
      </w:pPr>
      <w:r w:rsidRPr="00295F6D">
        <w:rPr>
          <w:rFonts w:cs="Arial"/>
        </w:rPr>
        <w:t>Over half the respondents said seeing people drinking in public worries them and would avoid places where people are drinking in public.</w:t>
      </w:r>
    </w:p>
    <w:p w14:paraId="612DFB71" w14:textId="77777777" w:rsidR="00E77C19" w:rsidRPr="00295F6D" w:rsidRDefault="00E77C19" w:rsidP="001B03FB">
      <w:pPr>
        <w:pStyle w:val="ListParagraph"/>
        <w:numPr>
          <w:ilvl w:val="0"/>
          <w:numId w:val="9"/>
        </w:numPr>
        <w:tabs>
          <w:tab w:val="clear" w:pos="426"/>
        </w:tabs>
        <w:autoSpaceDE w:val="0"/>
        <w:autoSpaceDN w:val="0"/>
        <w:adjustRightInd w:val="0"/>
        <w:spacing w:after="0"/>
        <w:contextualSpacing/>
        <w:rPr>
          <w:rFonts w:cs="Arial"/>
        </w:rPr>
      </w:pPr>
      <w:r w:rsidRPr="00295F6D">
        <w:rPr>
          <w:rFonts w:cs="Arial"/>
        </w:rPr>
        <w:t>A quarter of respondents did not feel concerned about seeing people drinking in public.</w:t>
      </w:r>
    </w:p>
    <w:p w14:paraId="3C13FEB5" w14:textId="77777777" w:rsidR="00E77C19" w:rsidRPr="00295F6D" w:rsidRDefault="00E77C19" w:rsidP="001B03FB">
      <w:pPr>
        <w:pStyle w:val="ListParagraph"/>
        <w:numPr>
          <w:ilvl w:val="0"/>
          <w:numId w:val="9"/>
        </w:numPr>
        <w:tabs>
          <w:tab w:val="clear" w:pos="426"/>
        </w:tabs>
        <w:autoSpaceDE w:val="0"/>
        <w:autoSpaceDN w:val="0"/>
        <w:adjustRightInd w:val="0"/>
        <w:spacing w:after="0"/>
        <w:contextualSpacing/>
        <w:rPr>
          <w:rFonts w:cs="Arial"/>
        </w:rPr>
      </w:pPr>
      <w:r w:rsidRPr="00295F6D">
        <w:rPr>
          <w:rFonts w:cs="Arial"/>
        </w:rPr>
        <w:t>Over half of respondents agreed that people have a right to drink in public if they are behaving considerately.  Less than a quarter disagreed or strongly disagreed.</w:t>
      </w:r>
    </w:p>
    <w:p w14:paraId="661F4BBB" w14:textId="77777777" w:rsidR="00E77C19" w:rsidRPr="00295F6D" w:rsidRDefault="00E77C19" w:rsidP="001B03FB">
      <w:pPr>
        <w:pStyle w:val="ListParagraph"/>
        <w:numPr>
          <w:ilvl w:val="0"/>
          <w:numId w:val="9"/>
        </w:numPr>
        <w:tabs>
          <w:tab w:val="clear" w:pos="426"/>
        </w:tabs>
        <w:autoSpaceDE w:val="0"/>
        <w:autoSpaceDN w:val="0"/>
        <w:adjustRightInd w:val="0"/>
        <w:spacing w:after="0"/>
        <w:contextualSpacing/>
        <w:rPr>
          <w:rFonts w:cs="Arial"/>
        </w:rPr>
      </w:pPr>
      <w:r w:rsidRPr="00295F6D">
        <w:rPr>
          <w:rFonts w:cs="Arial"/>
        </w:rPr>
        <w:t>The majority of the respondents stated that alcohol-related disorder concerns them.</w:t>
      </w:r>
    </w:p>
    <w:p w14:paraId="59A926F0" w14:textId="3ABB1CF1" w:rsidR="00E77C19" w:rsidRDefault="00E77C19" w:rsidP="001B03FB">
      <w:pPr>
        <w:pStyle w:val="ListParagraph"/>
        <w:numPr>
          <w:ilvl w:val="0"/>
          <w:numId w:val="9"/>
        </w:numPr>
        <w:tabs>
          <w:tab w:val="clear" w:pos="426"/>
        </w:tabs>
        <w:autoSpaceDE w:val="0"/>
        <w:autoSpaceDN w:val="0"/>
        <w:adjustRightInd w:val="0"/>
        <w:spacing w:after="0"/>
        <w:contextualSpacing/>
        <w:rPr>
          <w:rFonts w:cs="Arial"/>
        </w:rPr>
      </w:pPr>
      <w:r w:rsidRPr="00295F6D">
        <w:rPr>
          <w:rFonts w:cs="Arial"/>
        </w:rPr>
        <w:t>When asked if there should be a complete ban on drinking alcohol in any area of Oxford two-fifths were in favour, and two-fifths were against</w:t>
      </w:r>
      <w:r w:rsidR="006473FE">
        <w:rPr>
          <w:rFonts w:cs="Arial"/>
        </w:rPr>
        <w:t xml:space="preserve"> and the remainder had no opinion</w:t>
      </w:r>
      <w:r w:rsidRPr="00295F6D">
        <w:rPr>
          <w:rFonts w:cs="Arial"/>
        </w:rPr>
        <w:t>.</w:t>
      </w:r>
    </w:p>
    <w:p w14:paraId="4947B581" w14:textId="77777777" w:rsidR="00E77C19" w:rsidRPr="00295F6D" w:rsidRDefault="00E77C19" w:rsidP="00E77C19">
      <w:pPr>
        <w:pStyle w:val="ListParagraph"/>
        <w:numPr>
          <w:ilvl w:val="0"/>
          <w:numId w:val="0"/>
        </w:numPr>
        <w:tabs>
          <w:tab w:val="clear" w:pos="426"/>
        </w:tabs>
        <w:autoSpaceDE w:val="0"/>
        <w:autoSpaceDN w:val="0"/>
        <w:adjustRightInd w:val="0"/>
        <w:spacing w:after="0"/>
        <w:ind w:left="720"/>
        <w:contextualSpacing/>
        <w:rPr>
          <w:rFonts w:cs="Arial"/>
        </w:rPr>
      </w:pPr>
    </w:p>
    <w:p w14:paraId="5F0AFA6A" w14:textId="77777777" w:rsidR="00E77C19" w:rsidRDefault="00E77C19" w:rsidP="001B03FB">
      <w:pPr>
        <w:pStyle w:val="ListParagraph"/>
        <w:numPr>
          <w:ilvl w:val="0"/>
          <w:numId w:val="6"/>
        </w:numPr>
        <w:pBdr>
          <w:top w:val="nil"/>
          <w:left w:val="nil"/>
          <w:bottom w:val="nil"/>
          <w:right w:val="nil"/>
          <w:between w:val="nil"/>
          <w:bar w:val="nil"/>
        </w:pBdr>
      </w:pPr>
      <w:r>
        <w:t xml:space="preserve"> The top four locations of concern were Bonn Square, Cornmarket Street, George Street and Cowley Road.</w:t>
      </w:r>
    </w:p>
    <w:p w14:paraId="4335AB92" w14:textId="77777777" w:rsidR="00E77C19" w:rsidRPr="00E77C19" w:rsidRDefault="002329CF" w:rsidP="00E77C19">
      <w:pPr>
        <w:pBdr>
          <w:top w:val="nil"/>
          <w:left w:val="nil"/>
          <w:bottom w:val="nil"/>
          <w:right w:val="nil"/>
          <w:between w:val="nil"/>
          <w:bar w:val="nil"/>
        </w:pBdr>
        <w:rPr>
          <w:b/>
        </w:rPr>
      </w:pPr>
      <w:r w:rsidRPr="00E77C19">
        <w:rPr>
          <w:b/>
        </w:rPr>
        <w:t>Financial implications</w:t>
      </w:r>
    </w:p>
    <w:p w14:paraId="7D03CB90" w14:textId="77777777" w:rsidR="00AD085C" w:rsidRDefault="00DE632E" w:rsidP="00AD085C">
      <w:pPr>
        <w:pStyle w:val="ListParagraph"/>
        <w:numPr>
          <w:ilvl w:val="0"/>
          <w:numId w:val="6"/>
        </w:numPr>
        <w:pBdr>
          <w:top w:val="nil"/>
          <w:left w:val="nil"/>
          <w:bottom w:val="nil"/>
          <w:right w:val="nil"/>
          <w:between w:val="nil"/>
          <w:bar w:val="nil"/>
        </w:pBdr>
      </w:pPr>
      <w:r>
        <w:t>Signage and enforcement costs are covered by existing budgets</w:t>
      </w:r>
      <w:r w:rsidR="001B03FB">
        <w:t>.</w:t>
      </w:r>
    </w:p>
    <w:p w14:paraId="15A5571D" w14:textId="77777777" w:rsidR="00AD085C" w:rsidRPr="00AD085C" w:rsidRDefault="00DA614B" w:rsidP="00AD085C">
      <w:pPr>
        <w:pBdr>
          <w:top w:val="nil"/>
          <w:left w:val="nil"/>
          <w:bottom w:val="nil"/>
          <w:right w:val="nil"/>
          <w:between w:val="nil"/>
          <w:bar w:val="nil"/>
        </w:pBdr>
        <w:rPr>
          <w:b/>
        </w:rPr>
      </w:pPr>
      <w:r w:rsidRPr="00AD085C">
        <w:rPr>
          <w:b/>
        </w:rPr>
        <w:t xml:space="preserve">Legal </w:t>
      </w:r>
      <w:r w:rsidR="00AD085C" w:rsidRPr="00AD085C">
        <w:rPr>
          <w:b/>
        </w:rPr>
        <w:t>implications</w:t>
      </w:r>
    </w:p>
    <w:p w14:paraId="030BBA7F" w14:textId="77777777" w:rsidR="00AD085C" w:rsidRDefault="00F25176" w:rsidP="00AD085C">
      <w:pPr>
        <w:pStyle w:val="ListParagraph"/>
        <w:numPr>
          <w:ilvl w:val="0"/>
          <w:numId w:val="6"/>
        </w:numPr>
        <w:pBdr>
          <w:top w:val="nil"/>
          <w:left w:val="nil"/>
          <w:bottom w:val="nil"/>
          <w:right w:val="nil"/>
          <w:between w:val="nil"/>
          <w:bar w:val="nil"/>
        </w:pBdr>
      </w:pPr>
      <w:r w:rsidRPr="00AD085C">
        <w:t>The Council relies upon Section 59 of the 2014 Act.  This gives the Co</w:t>
      </w:r>
      <w:r w:rsidR="008818AD" w:rsidRPr="00AD085C">
        <w:t>uncil the</w:t>
      </w:r>
      <w:r w:rsidR="008818AD">
        <w:t xml:space="preserve"> power to draft and implement PSPOs in response to the issues which are affecting the community as long a</w:t>
      </w:r>
      <w:r w:rsidR="00AB440B">
        <w:t>s the legal criteria and test are</w:t>
      </w:r>
      <w:r w:rsidR="008818AD">
        <w:t xml:space="preserve"> met.  Section 59</w:t>
      </w:r>
      <w:r w:rsidR="003C7340">
        <w:t xml:space="preserve"> of the Act is set out </w:t>
      </w:r>
      <w:r w:rsidR="008818AD">
        <w:t xml:space="preserve">in Appendix 3.  The Council must be satisfied on reasonable grounds that activities that have taken place have had a detrimental effect on the quality of life of those in the locality, or that it is likely that activities that will take place will have a detrimental </w:t>
      </w:r>
      <w:r w:rsidR="003C7340">
        <w:t xml:space="preserve">effect. </w:t>
      </w:r>
      <w:r w:rsidR="008818AD">
        <w:t>The Council must also be satisfied that the detrimental effect is pe</w:t>
      </w:r>
      <w:r w:rsidR="003C7340">
        <w:t xml:space="preserve">rsistent or continuing and is, or is likely to be, </w:t>
      </w:r>
      <w:r w:rsidR="008818AD">
        <w:t>unreasonable</w:t>
      </w:r>
      <w:r w:rsidR="003C7340">
        <w:t>. T</w:t>
      </w:r>
      <w:r w:rsidR="008818AD">
        <w:t>he detrimental effect</w:t>
      </w:r>
      <w:r w:rsidR="003C7340">
        <w:t xml:space="preserve"> must justify the restrictions </w:t>
      </w:r>
      <w:r w:rsidR="008818AD">
        <w:t xml:space="preserve">being imposed.   Statutory guidance </w:t>
      </w:r>
      <w:r w:rsidR="003C7340">
        <w:t xml:space="preserve">states </w:t>
      </w:r>
      <w:r w:rsidR="003C7340">
        <w:lastRenderedPageBreak/>
        <w:t xml:space="preserve">restrictions should focus on specific behaviours and be proportionate to the detrimental effect and necessary to prevent it. </w:t>
      </w:r>
    </w:p>
    <w:p w14:paraId="73FE4E22" w14:textId="77777777" w:rsidR="001B03FB" w:rsidRPr="00AD085C" w:rsidRDefault="002329CF" w:rsidP="00AD085C">
      <w:pPr>
        <w:pStyle w:val="ListParagraph"/>
        <w:numPr>
          <w:ilvl w:val="0"/>
          <w:numId w:val="6"/>
        </w:numPr>
        <w:pBdr>
          <w:top w:val="nil"/>
          <w:left w:val="nil"/>
          <w:bottom w:val="nil"/>
          <w:right w:val="nil"/>
          <w:between w:val="nil"/>
          <w:bar w:val="nil"/>
        </w:pBdr>
      </w:pPr>
      <w:r w:rsidRPr="00AD085C">
        <w:rPr>
          <w:b/>
        </w:rPr>
        <w:t>Level of risk</w:t>
      </w:r>
    </w:p>
    <w:p w14:paraId="7E0870CD" w14:textId="77777777" w:rsidR="001B03FB" w:rsidRDefault="00DE632E" w:rsidP="001B03FB">
      <w:pPr>
        <w:pStyle w:val="ListParagraph"/>
        <w:numPr>
          <w:ilvl w:val="0"/>
          <w:numId w:val="6"/>
        </w:numPr>
        <w:pBdr>
          <w:top w:val="nil"/>
          <w:left w:val="nil"/>
          <w:bottom w:val="nil"/>
          <w:right w:val="nil"/>
          <w:between w:val="nil"/>
          <w:bar w:val="nil"/>
        </w:pBdr>
      </w:pPr>
      <w:r>
        <w:t xml:space="preserve">Risks and mitigations are contained </w:t>
      </w:r>
      <w:r w:rsidR="00684E52">
        <w:t>in the Risk Register, Appendix 9</w:t>
      </w:r>
    </w:p>
    <w:p w14:paraId="24DC6262" w14:textId="77777777" w:rsidR="001B03FB" w:rsidRPr="001B03FB" w:rsidRDefault="002329CF" w:rsidP="001B03FB">
      <w:pPr>
        <w:pBdr>
          <w:top w:val="nil"/>
          <w:left w:val="nil"/>
          <w:bottom w:val="nil"/>
          <w:right w:val="nil"/>
          <w:between w:val="nil"/>
          <w:bar w:val="nil"/>
        </w:pBdr>
        <w:rPr>
          <w:b/>
        </w:rPr>
      </w:pPr>
      <w:r w:rsidRPr="001B03FB">
        <w:rPr>
          <w:b/>
        </w:rPr>
        <w:t xml:space="preserve">Equalities impact </w:t>
      </w:r>
    </w:p>
    <w:p w14:paraId="35B71175" w14:textId="77777777" w:rsidR="001B03FB" w:rsidRDefault="0093067A" w:rsidP="001B03FB">
      <w:pPr>
        <w:pStyle w:val="ListParagraph"/>
        <w:numPr>
          <w:ilvl w:val="0"/>
          <w:numId w:val="6"/>
        </w:numPr>
        <w:pBdr>
          <w:top w:val="nil"/>
          <w:left w:val="nil"/>
          <w:bottom w:val="nil"/>
          <w:right w:val="nil"/>
          <w:between w:val="nil"/>
          <w:bar w:val="nil"/>
        </w:pBdr>
      </w:pPr>
      <w:r w:rsidRPr="001356F1">
        <w:t>Equalities Impact Assessment</w:t>
      </w:r>
      <w:r w:rsidR="001B03FB">
        <w:t>s are at A</w:t>
      </w:r>
      <w:r w:rsidR="002329CF" w:rsidRPr="001356F1">
        <w:t>ppendix</w:t>
      </w:r>
      <w:r w:rsidR="001B03FB">
        <w:t xml:space="preserve"> 10 and 11</w:t>
      </w:r>
      <w:r w:rsidR="002329CF" w:rsidRPr="001356F1">
        <w:t>.</w:t>
      </w:r>
    </w:p>
    <w:p w14:paraId="4B2596C3" w14:textId="77777777" w:rsidR="002329CF" w:rsidRPr="001356F1" w:rsidRDefault="001B03FB" w:rsidP="001B03FB">
      <w:r w:rsidRPr="001356F1">
        <w:t xml:space="preserve"> </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31F0CC65"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7C1587D6"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1090424" w14:textId="77777777" w:rsidR="00E87F7A" w:rsidRPr="001356F1" w:rsidRDefault="00DE632E" w:rsidP="00A46E98">
            <w:r>
              <w:t>Richard Adams</w:t>
            </w:r>
          </w:p>
        </w:tc>
      </w:tr>
      <w:tr w:rsidR="00DF093E" w:rsidRPr="001356F1" w14:paraId="38B3D735"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7DDE0712"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49C22936" w14:textId="77777777" w:rsidR="00E87F7A" w:rsidRPr="001356F1" w:rsidRDefault="00DE632E" w:rsidP="00A46E98">
            <w:r>
              <w:t>Community Safety Service Manager</w:t>
            </w:r>
          </w:p>
        </w:tc>
      </w:tr>
      <w:tr w:rsidR="00DF093E" w:rsidRPr="001356F1" w14:paraId="50A5F5EA" w14:textId="77777777" w:rsidTr="00A46E98">
        <w:trPr>
          <w:cantSplit/>
          <w:trHeight w:val="396"/>
        </w:trPr>
        <w:tc>
          <w:tcPr>
            <w:tcW w:w="3969" w:type="dxa"/>
            <w:tcBorders>
              <w:top w:val="nil"/>
              <w:left w:val="single" w:sz="8" w:space="0" w:color="000000"/>
              <w:bottom w:val="nil"/>
              <w:right w:val="nil"/>
            </w:tcBorders>
            <w:shd w:val="clear" w:color="auto" w:fill="auto"/>
          </w:tcPr>
          <w:p w14:paraId="6653D6E1"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396772A5" w14:textId="77777777" w:rsidR="00E87F7A" w:rsidRPr="001356F1" w:rsidRDefault="00DE632E" w:rsidP="00A46E98">
            <w:r>
              <w:t>Regulatory Services and Community Safety</w:t>
            </w:r>
          </w:p>
        </w:tc>
      </w:tr>
      <w:tr w:rsidR="00DF093E" w:rsidRPr="001356F1" w14:paraId="493A8B37" w14:textId="77777777" w:rsidTr="00A46E98">
        <w:trPr>
          <w:cantSplit/>
          <w:trHeight w:val="396"/>
        </w:trPr>
        <w:tc>
          <w:tcPr>
            <w:tcW w:w="3969" w:type="dxa"/>
            <w:tcBorders>
              <w:top w:val="nil"/>
              <w:left w:val="single" w:sz="8" w:space="0" w:color="000000"/>
              <w:bottom w:val="nil"/>
              <w:right w:val="nil"/>
            </w:tcBorders>
            <w:shd w:val="clear" w:color="auto" w:fill="auto"/>
          </w:tcPr>
          <w:p w14:paraId="09D7E0E9"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39DC0863" w14:textId="77777777" w:rsidR="00E87F7A" w:rsidRPr="00DE632E" w:rsidRDefault="00E87F7A" w:rsidP="00DE632E">
            <w:r w:rsidRPr="00DE632E">
              <w:t xml:space="preserve">01865 </w:t>
            </w:r>
            <w:r w:rsidR="00DE632E" w:rsidRPr="00DE632E">
              <w:t>252283</w:t>
            </w:r>
            <w:r w:rsidRPr="00DE632E">
              <w:t xml:space="preserve">  </w:t>
            </w:r>
          </w:p>
        </w:tc>
      </w:tr>
      <w:tr w:rsidR="005570B5" w:rsidRPr="001356F1" w14:paraId="27A08090"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65FBA13C"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016555FD" w14:textId="77777777" w:rsidR="00E87F7A" w:rsidRPr="00DE632E" w:rsidRDefault="00DE632E" w:rsidP="00A46E98">
            <w:pPr>
              <w:rPr>
                <w:rStyle w:val="Hyperlink"/>
                <w:color w:val="000000"/>
                <w:u w:val="none"/>
              </w:rPr>
            </w:pPr>
            <w:r w:rsidRPr="00DE632E">
              <w:rPr>
                <w:rStyle w:val="Hyperlink"/>
                <w:color w:val="000000"/>
                <w:u w:val="none"/>
              </w:rPr>
              <w:t>rjadams@oxford.gov.uk</w:t>
            </w:r>
          </w:p>
        </w:tc>
      </w:tr>
    </w:tbl>
    <w:p w14:paraId="30045D87" w14:textId="70603197" w:rsidR="00DE632E" w:rsidRDefault="00DE632E" w:rsidP="0006646F">
      <w:pPr>
        <w:spacing w:after="0"/>
        <w:rPr>
          <w:b/>
        </w:rPr>
      </w:pPr>
    </w:p>
    <w:sectPr w:rsidR="00DE632E" w:rsidSect="00BC200B">
      <w:footerReference w:type="even" r:id="rId8"/>
      <w:headerReference w:type="first" r:id="rId9"/>
      <w:footerReference w:type="first" r:id="rId10"/>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E4B58" w14:textId="77777777" w:rsidR="00D81C94" w:rsidRDefault="00D81C94" w:rsidP="004A6D2F">
      <w:r>
        <w:separator/>
      </w:r>
    </w:p>
  </w:endnote>
  <w:endnote w:type="continuationSeparator" w:id="0">
    <w:p w14:paraId="46B8A38B" w14:textId="77777777" w:rsidR="00D81C94" w:rsidRDefault="00D81C94"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403F9" w14:textId="77777777" w:rsidR="00333925" w:rsidRDefault="00333925" w:rsidP="004A6D2F">
    <w:pPr>
      <w:pStyle w:val="Footer"/>
    </w:pPr>
    <w:r>
      <w:t>Do not use a footer or page numbers.</w:t>
    </w:r>
  </w:p>
  <w:p w14:paraId="31394FC2" w14:textId="77777777" w:rsidR="00333925" w:rsidRDefault="00333925" w:rsidP="004A6D2F">
    <w:pPr>
      <w:pStyle w:val="Footer"/>
    </w:pPr>
  </w:p>
  <w:p w14:paraId="7EB59951" w14:textId="77777777" w:rsidR="00333925" w:rsidRDefault="00333925"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E7D17" w14:textId="77777777" w:rsidR="00333925" w:rsidRDefault="00333925"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952B7" w14:textId="77777777" w:rsidR="00D81C94" w:rsidRDefault="00D81C94" w:rsidP="004A6D2F">
      <w:r>
        <w:separator/>
      </w:r>
    </w:p>
  </w:footnote>
  <w:footnote w:type="continuationSeparator" w:id="0">
    <w:p w14:paraId="32F9E10F" w14:textId="77777777" w:rsidR="00D81C94" w:rsidRDefault="00D81C94"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B595E" w14:textId="77777777" w:rsidR="00333925" w:rsidRDefault="00333925" w:rsidP="00D5547E">
    <w:pPr>
      <w:pStyle w:val="Header"/>
      <w:jc w:val="right"/>
    </w:pPr>
    <w:r>
      <w:rPr>
        <w:noProof/>
      </w:rPr>
      <w:drawing>
        <wp:inline distT="0" distB="0" distL="0" distR="0" wp14:anchorId="0866BA05" wp14:editId="67FAFED9">
          <wp:extent cx="83820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6E14632"/>
    <w:multiLevelType w:val="hybridMultilevel"/>
    <w:tmpl w:val="E67CE66C"/>
    <w:numStyleLink w:val="StyleNumberedLeft0cmHanging075cm"/>
  </w:abstractNum>
  <w:abstractNum w:abstractNumId="4" w15:restartNumberingAfterBreak="0">
    <w:nsid w:val="3E4800DD"/>
    <w:multiLevelType w:val="hybridMultilevel"/>
    <w:tmpl w:val="B1C690DC"/>
    <w:lvl w:ilvl="0" w:tplc="350EA3FE">
      <w:start w:val="1"/>
      <w:numFmt w:val="decimal"/>
      <w:lvlText w:val="%1."/>
      <w:lvlJc w:val="left"/>
      <w:pPr>
        <w:ind w:left="360" w:hanging="360"/>
      </w:pPr>
      <w:rPr>
        <w:rFonts w:ascii="Arial" w:hAnsi="Arial"/>
        <w:color w:val="000000"/>
        <w:sz w:val="24"/>
      </w:rPr>
    </w:lvl>
    <w:lvl w:ilvl="1" w:tplc="08090001">
      <w:start w:val="1"/>
      <w:numFmt w:val="bullet"/>
      <w:lvlText w:val=""/>
      <w:lvlJc w:val="left"/>
      <w:pPr>
        <w:ind w:left="1080" w:hanging="360"/>
      </w:pPr>
      <w:rPr>
        <w:rFonts w:ascii="Symbol" w:hAnsi="Symbol" w:hint="default"/>
      </w:rPr>
    </w:lvl>
    <w:lvl w:ilvl="2" w:tplc="D11CCEC6">
      <w:start w:val="1"/>
      <w:numFmt w:val="lowerRoman"/>
      <w:lvlText w:val="%3."/>
      <w:lvlJc w:val="right"/>
      <w:pPr>
        <w:ind w:left="1800" w:hanging="180"/>
      </w:pPr>
    </w:lvl>
    <w:lvl w:ilvl="3" w:tplc="41D87B1A">
      <w:start w:val="1"/>
      <w:numFmt w:val="decimal"/>
      <w:lvlText w:val="%4."/>
      <w:lvlJc w:val="left"/>
      <w:pPr>
        <w:ind w:left="2520" w:hanging="360"/>
      </w:pPr>
    </w:lvl>
    <w:lvl w:ilvl="4" w:tplc="FC82A0C0">
      <w:start w:val="1"/>
      <w:numFmt w:val="lowerLetter"/>
      <w:lvlText w:val="%5."/>
      <w:lvlJc w:val="left"/>
      <w:pPr>
        <w:ind w:left="3240" w:hanging="360"/>
      </w:pPr>
    </w:lvl>
    <w:lvl w:ilvl="5" w:tplc="4CA8555E">
      <w:start w:val="1"/>
      <w:numFmt w:val="lowerRoman"/>
      <w:lvlText w:val="%6."/>
      <w:lvlJc w:val="right"/>
      <w:pPr>
        <w:ind w:left="3960" w:hanging="180"/>
      </w:pPr>
    </w:lvl>
    <w:lvl w:ilvl="6" w:tplc="70C6C664">
      <w:start w:val="1"/>
      <w:numFmt w:val="decimal"/>
      <w:lvlText w:val="%7."/>
      <w:lvlJc w:val="left"/>
      <w:pPr>
        <w:ind w:left="4680" w:hanging="360"/>
      </w:pPr>
    </w:lvl>
    <w:lvl w:ilvl="7" w:tplc="660A2790">
      <w:start w:val="1"/>
      <w:numFmt w:val="lowerLetter"/>
      <w:lvlText w:val="%8."/>
      <w:lvlJc w:val="left"/>
      <w:pPr>
        <w:ind w:left="5400" w:hanging="360"/>
      </w:pPr>
    </w:lvl>
    <w:lvl w:ilvl="8" w:tplc="2EDC3E58">
      <w:start w:val="1"/>
      <w:numFmt w:val="lowerRoman"/>
      <w:lvlText w:val="%9."/>
      <w:lvlJc w:val="right"/>
      <w:pPr>
        <w:ind w:left="6120" w:hanging="180"/>
      </w:pPr>
    </w:lvl>
  </w:abstractNum>
  <w:abstractNum w:abstractNumId="5"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D3F692F"/>
    <w:multiLevelType w:val="hybridMultilevel"/>
    <w:tmpl w:val="18503D7C"/>
    <w:lvl w:ilvl="0" w:tplc="08090001">
      <w:start w:val="1"/>
      <w:numFmt w:val="bullet"/>
      <w:lvlText w:val=""/>
      <w:lvlJc w:val="left"/>
      <w:pPr>
        <w:ind w:left="720" w:hanging="360"/>
      </w:pPr>
      <w:rPr>
        <w:rFonts w:ascii="Symbol" w:hAnsi="Symbol" w:hint="default"/>
        <w:color w:val="000000"/>
        <w:sz w:val="24"/>
      </w:rPr>
    </w:lvl>
    <w:lvl w:ilvl="1" w:tplc="D8B67D28">
      <w:start w:val="1"/>
      <w:numFmt w:val="lowerLetter"/>
      <w:lvlText w:val="%2."/>
      <w:lvlJc w:val="left"/>
      <w:pPr>
        <w:ind w:left="1440" w:hanging="360"/>
      </w:pPr>
    </w:lvl>
    <w:lvl w:ilvl="2" w:tplc="D11CCEC6">
      <w:start w:val="1"/>
      <w:numFmt w:val="lowerRoman"/>
      <w:lvlText w:val="%3."/>
      <w:lvlJc w:val="right"/>
      <w:pPr>
        <w:ind w:left="2160" w:hanging="180"/>
      </w:pPr>
    </w:lvl>
    <w:lvl w:ilvl="3" w:tplc="41D87B1A">
      <w:start w:val="1"/>
      <w:numFmt w:val="decimal"/>
      <w:lvlText w:val="%4."/>
      <w:lvlJc w:val="left"/>
      <w:pPr>
        <w:ind w:left="2880" w:hanging="360"/>
      </w:pPr>
    </w:lvl>
    <w:lvl w:ilvl="4" w:tplc="FC82A0C0">
      <w:start w:val="1"/>
      <w:numFmt w:val="lowerLetter"/>
      <w:lvlText w:val="%5."/>
      <w:lvlJc w:val="left"/>
      <w:pPr>
        <w:ind w:left="3600" w:hanging="360"/>
      </w:pPr>
    </w:lvl>
    <w:lvl w:ilvl="5" w:tplc="4CA8555E">
      <w:start w:val="1"/>
      <w:numFmt w:val="lowerRoman"/>
      <w:lvlText w:val="%6."/>
      <w:lvlJc w:val="right"/>
      <w:pPr>
        <w:ind w:left="4320" w:hanging="180"/>
      </w:pPr>
    </w:lvl>
    <w:lvl w:ilvl="6" w:tplc="70C6C664">
      <w:start w:val="1"/>
      <w:numFmt w:val="decimal"/>
      <w:lvlText w:val="%7."/>
      <w:lvlJc w:val="left"/>
      <w:pPr>
        <w:ind w:left="5040" w:hanging="360"/>
      </w:pPr>
    </w:lvl>
    <w:lvl w:ilvl="7" w:tplc="660A2790">
      <w:start w:val="1"/>
      <w:numFmt w:val="lowerLetter"/>
      <w:lvlText w:val="%8."/>
      <w:lvlJc w:val="left"/>
      <w:pPr>
        <w:ind w:left="5760" w:hanging="360"/>
      </w:pPr>
    </w:lvl>
    <w:lvl w:ilvl="8" w:tplc="2EDC3E58">
      <w:start w:val="1"/>
      <w:numFmt w:val="lowerRoman"/>
      <w:lvlText w:val="%9."/>
      <w:lvlJc w:val="right"/>
      <w:pPr>
        <w:ind w:left="6480" w:hanging="180"/>
      </w:pPr>
    </w:lvl>
  </w:abstractNum>
  <w:abstractNum w:abstractNumId="7" w15:restartNumberingAfterBreak="0">
    <w:nsid w:val="71977F0B"/>
    <w:multiLevelType w:val="hybridMultilevel"/>
    <w:tmpl w:val="7FAEB8C0"/>
    <w:lvl w:ilvl="0" w:tplc="08090001">
      <w:start w:val="1"/>
      <w:numFmt w:val="lowerLetter"/>
      <w:lvlText w:val="%1."/>
      <w:lvlJc w:val="left"/>
      <w:pPr>
        <w:ind w:left="144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98365C6"/>
    <w:multiLevelType w:val="multilevel"/>
    <w:tmpl w:val="E67CE66C"/>
    <w:numStyleLink w:val="StyleNumberedLeft0cmHanging075cm"/>
  </w:abstractNum>
  <w:num w:numId="1">
    <w:abstractNumId w:val="0"/>
  </w:num>
  <w:num w:numId="2">
    <w:abstractNumId w:val="8"/>
  </w:num>
  <w:num w:numId="3">
    <w:abstractNumId w:val="2"/>
  </w:num>
  <w:num w:numId="4">
    <w:abstractNumId w:val="1"/>
  </w:num>
  <w:num w:numId="5">
    <w:abstractNumId w:val="5"/>
  </w:num>
  <w:num w:numId="6">
    <w:abstractNumId w:val="3"/>
  </w:num>
  <w:num w:numId="7">
    <w:abstractNumId w:val="7"/>
  </w:num>
  <w:num w:numId="8">
    <w:abstractNumId w:val="4"/>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05/10/2020 16:06"/>
  </w:docVars>
  <w:rsids>
    <w:rsidRoot w:val="00D860E2"/>
    <w:rsid w:val="000117D4"/>
    <w:rsid w:val="000314D7"/>
    <w:rsid w:val="00045F8B"/>
    <w:rsid w:val="00046D2B"/>
    <w:rsid w:val="00056263"/>
    <w:rsid w:val="00064D8A"/>
    <w:rsid w:val="00064F82"/>
    <w:rsid w:val="0006646F"/>
    <w:rsid w:val="00066510"/>
    <w:rsid w:val="00077523"/>
    <w:rsid w:val="000C089F"/>
    <w:rsid w:val="000C3928"/>
    <w:rsid w:val="000C5E8E"/>
    <w:rsid w:val="000F4751"/>
    <w:rsid w:val="0010524C"/>
    <w:rsid w:val="00111FB1"/>
    <w:rsid w:val="00113418"/>
    <w:rsid w:val="001356F1"/>
    <w:rsid w:val="00136994"/>
    <w:rsid w:val="0014128E"/>
    <w:rsid w:val="00151888"/>
    <w:rsid w:val="00170A2D"/>
    <w:rsid w:val="001752AD"/>
    <w:rsid w:val="001808BC"/>
    <w:rsid w:val="00182B81"/>
    <w:rsid w:val="0018619D"/>
    <w:rsid w:val="001A011E"/>
    <w:rsid w:val="001A066A"/>
    <w:rsid w:val="001A13E6"/>
    <w:rsid w:val="001A5731"/>
    <w:rsid w:val="001B03FB"/>
    <w:rsid w:val="001B42C3"/>
    <w:rsid w:val="001C5D5E"/>
    <w:rsid w:val="001D1D47"/>
    <w:rsid w:val="001D678D"/>
    <w:rsid w:val="001E03F8"/>
    <w:rsid w:val="001E1678"/>
    <w:rsid w:val="001E3376"/>
    <w:rsid w:val="002069B3"/>
    <w:rsid w:val="002329CF"/>
    <w:rsid w:val="00232F5B"/>
    <w:rsid w:val="00247C29"/>
    <w:rsid w:val="00260467"/>
    <w:rsid w:val="00263EA3"/>
    <w:rsid w:val="00284F85"/>
    <w:rsid w:val="00290915"/>
    <w:rsid w:val="002A22E2"/>
    <w:rsid w:val="002C64F7"/>
    <w:rsid w:val="002D2B59"/>
    <w:rsid w:val="002F1D2A"/>
    <w:rsid w:val="002F41F2"/>
    <w:rsid w:val="00301BF3"/>
    <w:rsid w:val="0030208D"/>
    <w:rsid w:val="00313FBA"/>
    <w:rsid w:val="00323418"/>
    <w:rsid w:val="00333925"/>
    <w:rsid w:val="0033413A"/>
    <w:rsid w:val="003357BF"/>
    <w:rsid w:val="00364FAD"/>
    <w:rsid w:val="0036738F"/>
    <w:rsid w:val="0036759C"/>
    <w:rsid w:val="00367AE5"/>
    <w:rsid w:val="00367D71"/>
    <w:rsid w:val="0038150A"/>
    <w:rsid w:val="003A6736"/>
    <w:rsid w:val="003B6E75"/>
    <w:rsid w:val="003B7DA1"/>
    <w:rsid w:val="003C7340"/>
    <w:rsid w:val="003D0379"/>
    <w:rsid w:val="003D2574"/>
    <w:rsid w:val="003D4C59"/>
    <w:rsid w:val="003D792F"/>
    <w:rsid w:val="003F4267"/>
    <w:rsid w:val="00404032"/>
    <w:rsid w:val="0040736F"/>
    <w:rsid w:val="00412C1F"/>
    <w:rsid w:val="00421CB2"/>
    <w:rsid w:val="004268B9"/>
    <w:rsid w:val="00433B96"/>
    <w:rsid w:val="004440F1"/>
    <w:rsid w:val="004456DD"/>
    <w:rsid w:val="00445FC5"/>
    <w:rsid w:val="00446CDF"/>
    <w:rsid w:val="004521B7"/>
    <w:rsid w:val="00462AB5"/>
    <w:rsid w:val="00465EAF"/>
    <w:rsid w:val="004738C5"/>
    <w:rsid w:val="0048554F"/>
    <w:rsid w:val="00491046"/>
    <w:rsid w:val="004A2AC7"/>
    <w:rsid w:val="004A6D2F"/>
    <w:rsid w:val="004C2887"/>
    <w:rsid w:val="004D2626"/>
    <w:rsid w:val="004D6E26"/>
    <w:rsid w:val="004D77D3"/>
    <w:rsid w:val="004E2959"/>
    <w:rsid w:val="004F20EF"/>
    <w:rsid w:val="0050321C"/>
    <w:rsid w:val="0054712D"/>
    <w:rsid w:val="00547EF6"/>
    <w:rsid w:val="005570B5"/>
    <w:rsid w:val="00567E18"/>
    <w:rsid w:val="00575F5F"/>
    <w:rsid w:val="00581805"/>
    <w:rsid w:val="00585F76"/>
    <w:rsid w:val="00593AF8"/>
    <w:rsid w:val="005A2627"/>
    <w:rsid w:val="005A34E4"/>
    <w:rsid w:val="005A7B51"/>
    <w:rsid w:val="005B17F2"/>
    <w:rsid w:val="005B7FB0"/>
    <w:rsid w:val="005C35A5"/>
    <w:rsid w:val="005C577C"/>
    <w:rsid w:val="005D0621"/>
    <w:rsid w:val="005D1E27"/>
    <w:rsid w:val="005D2A3E"/>
    <w:rsid w:val="005D5010"/>
    <w:rsid w:val="005E022E"/>
    <w:rsid w:val="005E5215"/>
    <w:rsid w:val="005F7F7E"/>
    <w:rsid w:val="006060A8"/>
    <w:rsid w:val="00614693"/>
    <w:rsid w:val="00623C2F"/>
    <w:rsid w:val="00633578"/>
    <w:rsid w:val="00637068"/>
    <w:rsid w:val="006473FE"/>
    <w:rsid w:val="00650811"/>
    <w:rsid w:val="00661D3E"/>
    <w:rsid w:val="00684E52"/>
    <w:rsid w:val="00692627"/>
    <w:rsid w:val="006969E7"/>
    <w:rsid w:val="006A3643"/>
    <w:rsid w:val="006C2A29"/>
    <w:rsid w:val="006C64CF"/>
    <w:rsid w:val="006D17B1"/>
    <w:rsid w:val="006D4752"/>
    <w:rsid w:val="006D708A"/>
    <w:rsid w:val="006E14C1"/>
    <w:rsid w:val="006F0292"/>
    <w:rsid w:val="006F27FA"/>
    <w:rsid w:val="006F3DC5"/>
    <w:rsid w:val="006F416B"/>
    <w:rsid w:val="006F519B"/>
    <w:rsid w:val="00713675"/>
    <w:rsid w:val="00715823"/>
    <w:rsid w:val="00737B93"/>
    <w:rsid w:val="00745BF0"/>
    <w:rsid w:val="007559EA"/>
    <w:rsid w:val="007615FE"/>
    <w:rsid w:val="0076655C"/>
    <w:rsid w:val="007742DC"/>
    <w:rsid w:val="00791437"/>
    <w:rsid w:val="007A251B"/>
    <w:rsid w:val="007B0C2C"/>
    <w:rsid w:val="007B278E"/>
    <w:rsid w:val="007B363D"/>
    <w:rsid w:val="007C5C23"/>
    <w:rsid w:val="007E2A26"/>
    <w:rsid w:val="007F2348"/>
    <w:rsid w:val="00803F07"/>
    <w:rsid w:val="0080749A"/>
    <w:rsid w:val="00821FB8"/>
    <w:rsid w:val="00822ACD"/>
    <w:rsid w:val="008245C1"/>
    <w:rsid w:val="0082473A"/>
    <w:rsid w:val="00855C66"/>
    <w:rsid w:val="00871EE4"/>
    <w:rsid w:val="008818AD"/>
    <w:rsid w:val="008B293F"/>
    <w:rsid w:val="008B7371"/>
    <w:rsid w:val="008C7724"/>
    <w:rsid w:val="008D3DDB"/>
    <w:rsid w:val="008F573F"/>
    <w:rsid w:val="009034EC"/>
    <w:rsid w:val="0093067A"/>
    <w:rsid w:val="00941C60"/>
    <w:rsid w:val="00941FD1"/>
    <w:rsid w:val="00966D42"/>
    <w:rsid w:val="00971689"/>
    <w:rsid w:val="00973E90"/>
    <w:rsid w:val="00975B07"/>
    <w:rsid w:val="00980B4A"/>
    <w:rsid w:val="009B410C"/>
    <w:rsid w:val="009E3D0A"/>
    <w:rsid w:val="009E51FC"/>
    <w:rsid w:val="009F1D28"/>
    <w:rsid w:val="009F7618"/>
    <w:rsid w:val="00A04D23"/>
    <w:rsid w:val="00A06766"/>
    <w:rsid w:val="00A13765"/>
    <w:rsid w:val="00A21B12"/>
    <w:rsid w:val="00A23F80"/>
    <w:rsid w:val="00A46E98"/>
    <w:rsid w:val="00A6352B"/>
    <w:rsid w:val="00A701B5"/>
    <w:rsid w:val="00A714BB"/>
    <w:rsid w:val="00A7624C"/>
    <w:rsid w:val="00A77147"/>
    <w:rsid w:val="00A92D8F"/>
    <w:rsid w:val="00A94017"/>
    <w:rsid w:val="00AB2988"/>
    <w:rsid w:val="00AB440B"/>
    <w:rsid w:val="00AB7999"/>
    <w:rsid w:val="00AD085C"/>
    <w:rsid w:val="00AD3292"/>
    <w:rsid w:val="00AE07DD"/>
    <w:rsid w:val="00AE44DE"/>
    <w:rsid w:val="00AE7AF0"/>
    <w:rsid w:val="00B208CF"/>
    <w:rsid w:val="00B500CA"/>
    <w:rsid w:val="00B646DB"/>
    <w:rsid w:val="00B86314"/>
    <w:rsid w:val="00BA1C2E"/>
    <w:rsid w:val="00BC200B"/>
    <w:rsid w:val="00BC4756"/>
    <w:rsid w:val="00BC69A4"/>
    <w:rsid w:val="00BE0680"/>
    <w:rsid w:val="00BE305F"/>
    <w:rsid w:val="00BE7BA3"/>
    <w:rsid w:val="00BF4716"/>
    <w:rsid w:val="00BF5682"/>
    <w:rsid w:val="00BF7B09"/>
    <w:rsid w:val="00C17BA3"/>
    <w:rsid w:val="00C20A95"/>
    <w:rsid w:val="00C2692F"/>
    <w:rsid w:val="00C3207C"/>
    <w:rsid w:val="00C400E1"/>
    <w:rsid w:val="00C41187"/>
    <w:rsid w:val="00C63C31"/>
    <w:rsid w:val="00C757A0"/>
    <w:rsid w:val="00C760DE"/>
    <w:rsid w:val="00C82630"/>
    <w:rsid w:val="00C85B4E"/>
    <w:rsid w:val="00C907F7"/>
    <w:rsid w:val="00CA2103"/>
    <w:rsid w:val="00CB6B99"/>
    <w:rsid w:val="00CE4C87"/>
    <w:rsid w:val="00CE544A"/>
    <w:rsid w:val="00CF2461"/>
    <w:rsid w:val="00D073FF"/>
    <w:rsid w:val="00D11E1C"/>
    <w:rsid w:val="00D160B0"/>
    <w:rsid w:val="00D17F94"/>
    <w:rsid w:val="00D223FC"/>
    <w:rsid w:val="00D26D1E"/>
    <w:rsid w:val="00D474CF"/>
    <w:rsid w:val="00D5547E"/>
    <w:rsid w:val="00D618DF"/>
    <w:rsid w:val="00D81C94"/>
    <w:rsid w:val="00D860E2"/>
    <w:rsid w:val="00D869A1"/>
    <w:rsid w:val="00DA413F"/>
    <w:rsid w:val="00DA4584"/>
    <w:rsid w:val="00DA614B"/>
    <w:rsid w:val="00DB7AD7"/>
    <w:rsid w:val="00DC3060"/>
    <w:rsid w:val="00DD35BD"/>
    <w:rsid w:val="00DE0FB2"/>
    <w:rsid w:val="00DE1698"/>
    <w:rsid w:val="00DE632E"/>
    <w:rsid w:val="00DF093E"/>
    <w:rsid w:val="00E01F42"/>
    <w:rsid w:val="00E206D6"/>
    <w:rsid w:val="00E3366E"/>
    <w:rsid w:val="00E52086"/>
    <w:rsid w:val="00E543A6"/>
    <w:rsid w:val="00E60479"/>
    <w:rsid w:val="00E61D73"/>
    <w:rsid w:val="00E73684"/>
    <w:rsid w:val="00E77C19"/>
    <w:rsid w:val="00E818D6"/>
    <w:rsid w:val="00E87F7A"/>
    <w:rsid w:val="00E94B3E"/>
    <w:rsid w:val="00E96BD7"/>
    <w:rsid w:val="00EA0DB1"/>
    <w:rsid w:val="00EA0EE9"/>
    <w:rsid w:val="00EC2E5C"/>
    <w:rsid w:val="00ED52CA"/>
    <w:rsid w:val="00ED5860"/>
    <w:rsid w:val="00EE35C9"/>
    <w:rsid w:val="00F05ECA"/>
    <w:rsid w:val="00F25176"/>
    <w:rsid w:val="00F3566E"/>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B21812A"/>
  <w15:chartTrackingRefBased/>
  <w15:docId w15:val="{D1AF699E-11C0-4D68-9FDE-7E4520006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pPr>
      <w:numPr>
        <w:numId w:val="0"/>
      </w:numPr>
    </w:pPr>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F8F90-3B74-46EB-9B82-4880EBB67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19CF162C</Template>
  <TotalTime>3</TotalTime>
  <Pages>5</Pages>
  <Words>1703</Words>
  <Characters>8565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abrown2</dc:creator>
  <cp:keywords/>
  <cp:lastModifiedBy>MITCHELL John</cp:lastModifiedBy>
  <cp:revision>4</cp:revision>
  <cp:lastPrinted>2015-07-03T12:50:00Z</cp:lastPrinted>
  <dcterms:created xsi:type="dcterms:W3CDTF">2020-11-02T18:22:00Z</dcterms:created>
  <dcterms:modified xsi:type="dcterms:W3CDTF">2020-11-03T09:42:00Z</dcterms:modified>
</cp:coreProperties>
</file>